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E675C">
      <w:pPr>
        <w:widowControl/>
        <w:spacing w:line="360" w:lineRule="auto"/>
        <w:rPr>
          <w:rFonts w:hint="eastAsia" w:ascii="楷体" w:hAnsi="楷体" w:eastAsia="楷体"/>
          <w:b/>
          <w:bCs/>
          <w:caps/>
          <w:color w:val="000000" w:themeColor="text1"/>
          <w:sz w:val="20"/>
          <w:szCs w:val="20"/>
          <w14:textFill>
            <w14:solidFill>
              <w14:schemeClr w14:val="tx1"/>
            </w14:solidFill>
          </w14:textFill>
        </w:rPr>
      </w:pPr>
      <w:r>
        <w:rPr>
          <w:rFonts w:hint="eastAsia" w:ascii="楷体" w:hAnsi="楷体" w:eastAsia="楷体"/>
          <w:b/>
          <w:bCs/>
          <w:caps/>
          <w:color w:val="000000" w:themeColor="text1"/>
          <w:sz w:val="20"/>
          <w:szCs w:val="20"/>
          <w14:textFill>
            <w14:solidFill>
              <w14:schemeClr w14:val="tx1"/>
            </w14:solidFill>
          </w14:textFill>
        </w:rPr>
        <w:t xml:space="preserve"> </w:t>
      </w:r>
    </w:p>
    <w:p w14:paraId="40936BF4">
      <w:pPr>
        <w:widowControl/>
        <w:spacing w:line="360" w:lineRule="auto"/>
        <w:rPr>
          <w:rFonts w:hint="eastAsia" w:ascii="楷体" w:hAnsi="楷体" w:eastAsia="楷体"/>
          <w:b/>
          <w:bCs/>
          <w:caps/>
          <w:color w:val="000000" w:themeColor="text1"/>
          <w:sz w:val="20"/>
          <w:szCs w:val="20"/>
          <w14:textFill>
            <w14:solidFill>
              <w14:schemeClr w14:val="tx1"/>
            </w14:solidFill>
          </w14:textFill>
        </w:rPr>
      </w:pPr>
    </w:p>
    <w:p w14:paraId="736EBBE5">
      <w:pPr>
        <w:widowControl/>
        <w:spacing w:line="360" w:lineRule="auto"/>
        <w:rPr>
          <w:rFonts w:hint="eastAsia" w:ascii="等线" w:hAnsi="等线" w:eastAsia="等线" w:cs="等线"/>
          <w:b/>
          <w:bCs/>
          <w:caps/>
          <w:color w:val="000000" w:themeColor="text1"/>
          <w:sz w:val="56"/>
          <w:szCs w:val="56"/>
          <w:lang w:val="en-US" w:eastAsia="zh-CN"/>
          <w14:textFill>
            <w14:solidFill>
              <w14:schemeClr w14:val="tx1"/>
            </w14:solidFill>
          </w14:textFill>
        </w:rPr>
      </w:pPr>
    </w:p>
    <w:p w14:paraId="220FED92">
      <w:pPr>
        <w:widowControl/>
        <w:spacing w:line="360" w:lineRule="auto"/>
        <w:rPr>
          <w:rFonts w:hint="eastAsia" w:ascii="等线" w:hAnsi="等线" w:eastAsia="等线" w:cs="等线"/>
          <w:b/>
          <w:bCs/>
          <w:caps/>
          <w:color w:val="000000" w:themeColor="text1"/>
          <w:sz w:val="56"/>
          <w:szCs w:val="56"/>
          <w:lang w:val="en-US" w:eastAsia="zh-CN"/>
          <w14:textFill>
            <w14:solidFill>
              <w14:schemeClr w14:val="tx1"/>
            </w14:solidFill>
          </w14:textFill>
        </w:rPr>
      </w:pPr>
    </w:p>
    <w:p w14:paraId="4E70AA0E">
      <w:pPr>
        <w:widowControl/>
        <w:spacing w:line="360" w:lineRule="auto"/>
        <w:rPr>
          <w:rFonts w:hint="eastAsia" w:ascii="等线" w:hAnsi="等线" w:eastAsia="等线" w:cs="等线"/>
          <w:b/>
          <w:bCs/>
          <w:caps/>
          <w:color w:val="000000" w:themeColor="text1"/>
          <w:sz w:val="56"/>
          <w:szCs w:val="56"/>
          <w:lang w:val="en-US" w:eastAsia="zh-CN"/>
          <w14:textFill>
            <w14:solidFill>
              <w14:schemeClr w14:val="tx1"/>
            </w14:solidFill>
          </w14:textFill>
        </w:rPr>
      </w:pPr>
    </w:p>
    <w:p w14:paraId="14275B82">
      <w:pPr>
        <w:widowControl/>
        <w:spacing w:line="360" w:lineRule="auto"/>
        <w:rPr>
          <w:rFonts w:hint="eastAsia" w:ascii="等线" w:hAnsi="等线" w:eastAsia="等线" w:cs="等线"/>
          <w:b/>
          <w:bCs/>
          <w:caps/>
          <w:color w:val="000000" w:themeColor="text1"/>
          <w:sz w:val="56"/>
          <w:szCs w:val="56"/>
          <w:lang w:val="en-US" w:eastAsia="zh-CN"/>
          <w14:textFill>
            <w14:solidFill>
              <w14:schemeClr w14:val="tx1"/>
            </w14:solidFill>
          </w14:textFill>
        </w:rPr>
      </w:pPr>
      <w:r>
        <w:rPr>
          <w:rFonts w:hint="eastAsia" w:ascii="等线" w:hAnsi="等线" w:eastAsia="等线" w:cs="等线"/>
          <w:b/>
          <w:bCs/>
          <w:caps/>
          <w:color w:val="000000" w:themeColor="text1"/>
          <w:sz w:val="56"/>
          <w:szCs w:val="56"/>
          <w:lang w:val="en-US" w:eastAsia="zh-CN"/>
          <w14:textFill>
            <w14:solidFill>
              <w14:schemeClr w14:val="tx1"/>
            </w14:solidFill>
          </w14:textFill>
        </w:rPr>
        <w:t>2026 中国AI品牌资产发展白皮书</w:t>
      </w:r>
    </w:p>
    <w:p w14:paraId="7208385B">
      <w:pPr>
        <w:pStyle w:val="15"/>
        <w:jc w:val="left"/>
        <w:rPr>
          <w:rFonts w:hint="eastAsia" w:ascii="等线" w:hAnsi="等线" w:eastAsia="等线" w:cs="等线"/>
          <w:b/>
          <w:bCs/>
          <w:sz w:val="40"/>
          <w:szCs w:val="40"/>
        </w:rPr>
      </w:pPr>
      <w:r>
        <w:rPr>
          <w:rFonts w:hint="eastAsia" w:ascii="等线" w:hAnsi="等线" w:eastAsia="等线" w:cs="等线"/>
          <w:b/>
          <w:bCs/>
          <w:sz w:val="40"/>
          <w:szCs w:val="40"/>
        </w:rPr>
        <w:t>可信知识网络、行业规范与AI品牌资产评估体系</w:t>
      </w:r>
    </w:p>
    <w:p w14:paraId="4C7F2B8F">
      <w:pPr>
        <w:widowControl/>
        <w:spacing w:line="360" w:lineRule="auto"/>
        <w:rPr>
          <w:rFonts w:hint="eastAsia" w:ascii="楷体" w:hAnsi="楷体" w:eastAsia="楷体"/>
          <w:b/>
          <w:bCs/>
          <w:caps/>
          <w:color w:val="000000" w:themeColor="text1"/>
          <w:sz w:val="20"/>
          <w:szCs w:val="20"/>
          <w:lang w:val="en-US" w:eastAsia="zh-CN"/>
          <w14:textFill>
            <w14:solidFill>
              <w14:schemeClr w14:val="tx1"/>
            </w14:solidFill>
          </w14:textFill>
        </w:rPr>
      </w:pPr>
    </w:p>
    <w:p w14:paraId="30BA507F">
      <w:pPr>
        <w:widowControl/>
        <w:spacing w:line="360" w:lineRule="auto"/>
        <w:rPr>
          <w:rFonts w:hint="default" w:ascii="楷体" w:hAnsi="楷体" w:eastAsia="楷体"/>
          <w:b/>
          <w:bCs/>
          <w:caps/>
          <w:color w:val="000000" w:themeColor="text1"/>
          <w:sz w:val="20"/>
          <w:szCs w:val="20"/>
          <w:lang w:val="en-US" w:eastAsia="zh-CN"/>
          <w14:textFill>
            <w14:solidFill>
              <w14:schemeClr w14:val="tx1"/>
            </w14:solidFill>
          </w14:textFill>
        </w:rPr>
      </w:pPr>
    </w:p>
    <w:p w14:paraId="6B856F25">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bookmarkStart w:id="355" w:name="_GoBack"/>
      <w:bookmarkEnd w:id="355"/>
    </w:p>
    <w:p w14:paraId="66BDB63C">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394EE86B">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17882B36">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3D2AE1C9">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2AEFD6F9">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r>
        <w:rPr>
          <w:rFonts w:hint="eastAsia" w:ascii="等线" w:hAnsi="等线" w:eastAsia="等线" w:cs="等线"/>
          <w:b w:val="0"/>
          <w:bCs w:val="0"/>
          <w:color w:val="000000" w:themeColor="text1"/>
          <w:sz w:val="28"/>
          <w:szCs w:val="28"/>
          <w:lang w:val="en-US" w:eastAsia="zh-CN"/>
          <w14:textFill>
            <w14:solidFill>
              <w14:schemeClr w14:val="tx1"/>
            </w14:solidFill>
          </w14:textFill>
        </w:rPr>
        <w:t>发布单位：国家广告研究院</w:t>
      </w:r>
    </w:p>
    <w:p w14:paraId="3A20A6D4">
      <w:pPr>
        <w:widowControl/>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6EEEB3B8">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r>
        <w:rPr>
          <w:rFonts w:hint="eastAsia" w:ascii="等线" w:hAnsi="等线" w:eastAsia="等线" w:cs="等线"/>
          <w:b w:val="0"/>
          <w:bCs w:val="0"/>
          <w:color w:val="000000" w:themeColor="text1"/>
          <w:sz w:val="28"/>
          <w:szCs w:val="28"/>
          <w:lang w:val="en-US" w:eastAsia="zh-CN"/>
          <w14:textFill>
            <w14:solidFill>
              <w14:schemeClr w14:val="tx1"/>
            </w14:solidFill>
          </w14:textFill>
        </w:rPr>
        <w:t xml:space="preserve">联合发布单位：弗若斯特沙利文（Frost &amp; Sullivan） </w:t>
      </w:r>
    </w:p>
    <w:p w14:paraId="03F408B2">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59A6C882">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r>
        <w:rPr>
          <w:rFonts w:hint="eastAsia" w:ascii="等线" w:hAnsi="等线" w:eastAsia="等线" w:cs="等线"/>
          <w:b w:val="0"/>
          <w:bCs w:val="0"/>
          <w:color w:val="000000" w:themeColor="text1"/>
          <w:sz w:val="28"/>
          <w:szCs w:val="28"/>
          <w:lang w:val="en-US" w:eastAsia="zh-CN"/>
          <w14:textFill>
            <w14:solidFill>
              <w14:schemeClr w14:val="tx1"/>
            </w14:solidFill>
          </w14:textFill>
        </w:rPr>
        <w:t>头豹研究院</w:t>
      </w:r>
    </w:p>
    <w:p w14:paraId="2BCAA957">
      <w:pPr>
        <w:widowControl/>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113C02C2">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r>
        <w:rPr>
          <w:rFonts w:hint="eastAsia" w:ascii="等线" w:hAnsi="等线" w:eastAsia="等线" w:cs="等线"/>
          <w:b w:val="0"/>
          <w:bCs w:val="0"/>
          <w:color w:val="000000" w:themeColor="text1"/>
          <w:sz w:val="28"/>
          <w:szCs w:val="28"/>
          <w:lang w:val="en-US" w:eastAsia="zh-CN"/>
          <w14:textFill>
            <w14:solidFill>
              <w14:schemeClr w14:val="tx1"/>
            </w14:solidFill>
          </w14:textFill>
        </w:rPr>
        <w:t>成都高新信息技术研究院</w:t>
      </w:r>
    </w:p>
    <w:p w14:paraId="5C472D43">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71E2F2E3">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r>
        <w:rPr>
          <w:rFonts w:hint="eastAsia" w:ascii="等线" w:hAnsi="等线" w:eastAsia="等线" w:cs="等线"/>
          <w:b w:val="0"/>
          <w:bCs w:val="0"/>
          <w:color w:val="000000" w:themeColor="text1"/>
          <w:sz w:val="28"/>
          <w:szCs w:val="28"/>
          <w:lang w:val="en-US" w:eastAsia="zh-CN"/>
          <w14:textFill>
            <w14:solidFill>
              <w14:schemeClr w14:val="tx1"/>
            </w14:solidFill>
          </w14:textFill>
        </w:rPr>
        <w:t>保利文化传播有限公司</w:t>
      </w:r>
    </w:p>
    <w:p w14:paraId="598FDCBC">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2767E34B">
      <w:pPr>
        <w:widowControl/>
        <w:ind w:firstLine="3360" w:firstLineChars="12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29E75DC8">
      <w:pPr>
        <w:widowControl/>
        <w:ind w:firstLine="3362" w:firstLineChars="1200"/>
        <w:jc w:val="both"/>
        <w:rPr>
          <w:rFonts w:hint="default" w:ascii="等线" w:hAnsi="等线" w:eastAsia="等线" w:cs="等线"/>
          <w:b/>
          <w:bCs/>
          <w:color w:val="000000" w:themeColor="text1"/>
          <w:sz w:val="28"/>
          <w:szCs w:val="28"/>
          <w:lang w:val="en-US" w:eastAsia="zh-CN"/>
          <w14:textFill>
            <w14:solidFill>
              <w14:schemeClr w14:val="tx1"/>
            </w14:solidFill>
          </w14:textFill>
        </w:rPr>
      </w:pPr>
      <w:r>
        <w:rPr>
          <w:rFonts w:hint="eastAsia" w:ascii="等线" w:hAnsi="等线" w:eastAsia="等线" w:cs="等线"/>
          <w:b/>
          <w:bCs/>
          <w:color w:val="000000" w:themeColor="text1"/>
          <w:sz w:val="28"/>
          <w:szCs w:val="28"/>
          <w:lang w:val="en-US" w:eastAsia="zh-CN"/>
          <w14:textFill>
            <w14:solidFill>
              <w14:schemeClr w14:val="tx1"/>
            </w14:solidFill>
          </w14:textFill>
        </w:rPr>
        <w:t>2026年3月</w:t>
      </w:r>
    </w:p>
    <w:p w14:paraId="76F4666F">
      <w:pPr>
        <w:widowControl/>
        <w:ind w:firstLine="1400" w:firstLineChars="500"/>
        <w:jc w:val="both"/>
        <w:rPr>
          <w:rFonts w:hint="eastAsia" w:ascii="等线" w:hAnsi="等线" w:eastAsia="等线" w:cs="等线"/>
          <w:b w:val="0"/>
          <w:bCs w:val="0"/>
          <w:color w:val="000000" w:themeColor="text1"/>
          <w:sz w:val="28"/>
          <w:szCs w:val="28"/>
          <w:lang w:val="en-US" w:eastAsia="zh-CN"/>
          <w14:textFill>
            <w14:solidFill>
              <w14:schemeClr w14:val="tx1"/>
            </w14:solidFill>
          </w14:textFill>
        </w:rPr>
      </w:pPr>
    </w:p>
    <w:p w14:paraId="023F322C">
      <w:pPr>
        <w:widowControl/>
        <w:spacing w:line="360" w:lineRule="auto"/>
        <w:rPr>
          <w:rFonts w:hint="eastAsia" w:ascii="楷体" w:hAnsi="楷体" w:eastAsia="楷体"/>
          <w:b/>
          <w:bCs/>
          <w:caps/>
          <w:color w:val="000000" w:themeColor="text1"/>
          <w:sz w:val="20"/>
          <w:szCs w:val="20"/>
          <w14:textFill>
            <w14:solidFill>
              <w14:schemeClr w14:val="tx1"/>
            </w14:solidFill>
          </w14:textFill>
        </w:rPr>
      </w:pPr>
    </w:p>
    <w:p w14:paraId="2280F14F">
      <w:pPr>
        <w:widowControl/>
        <w:spacing w:line="360" w:lineRule="auto"/>
        <w:rPr>
          <w:rFonts w:hint="eastAsia" w:ascii="楷体" w:hAnsi="楷体" w:eastAsia="楷体"/>
          <w:b/>
          <w:bCs/>
          <w:caps/>
          <w:color w:val="000000" w:themeColor="text1"/>
          <w:sz w:val="20"/>
          <w:szCs w:val="20"/>
          <w14:textFill>
            <w14:solidFill>
              <w14:schemeClr w14:val="tx1"/>
            </w14:solidFill>
          </w14:textFill>
        </w:rPr>
      </w:pPr>
    </w:p>
    <w:p w14:paraId="2676F4DC">
      <w:pPr>
        <w:widowControl/>
        <w:jc w:val="center"/>
        <w:rPr>
          <w:b/>
          <w:bCs/>
          <w:color w:val="000000" w:themeColor="text1"/>
          <w:sz w:val="36"/>
          <w:szCs w:val="36"/>
          <w14:textFill>
            <w14:solidFill>
              <w14:schemeClr w14:val="tx1"/>
            </w14:solidFill>
          </w14:textFill>
        </w:rPr>
      </w:pPr>
      <w:r>
        <w:rPr>
          <w:rFonts w:hint="eastAsia"/>
          <w:b/>
          <w:bCs/>
          <w:color w:val="000000" w:themeColor="text1"/>
          <w:sz w:val="28"/>
          <w:szCs w:val="28"/>
          <w14:textFill>
            <w14:solidFill>
              <w14:schemeClr w14:val="tx1"/>
            </w14:solidFill>
          </w14:textFill>
        </w:rPr>
        <w:t>目录</w:t>
      </w:r>
    </w:p>
    <w:p w14:paraId="0BB591BE">
      <w:pPr>
        <w:pStyle w:val="20"/>
        <w:tabs>
          <w:tab w:val="right" w:leader="dot" w:pos="9026"/>
          <w:tab w:val="clear" w:pos="9016"/>
        </w:tabs>
      </w:pPr>
      <w:r>
        <w:fldChar w:fldCharType="begin"/>
      </w:r>
      <w:r>
        <w:instrText xml:space="preserve"> TOC \o "1-4" \h \z \u </w:instrText>
      </w:r>
      <w:r>
        <w:fldChar w:fldCharType="separate"/>
      </w:r>
      <w:r>
        <w:fldChar w:fldCharType="begin"/>
      </w:r>
      <w:r>
        <w:instrText xml:space="preserve"> HYPERLINK \l _Toc29874 </w:instrText>
      </w:r>
      <w:r>
        <w:fldChar w:fldCharType="separate"/>
      </w:r>
      <w:r>
        <w:t>第一章 范式转移：从“流量主</w:t>
      </w:r>
      <w:r>
        <w:rPr>
          <w:rFonts w:hint="eastAsia"/>
          <w:lang w:val="en-US" w:eastAsia="zh-CN"/>
        </w:rPr>
        <w:t>导权</w:t>
      </w:r>
      <w:r>
        <w:t>”到“认知主</w:t>
      </w:r>
      <w:r>
        <w:rPr>
          <w:rFonts w:hint="eastAsia"/>
          <w:lang w:val="en-US" w:eastAsia="zh-CN"/>
        </w:rPr>
        <w:t>导权</w:t>
      </w:r>
      <w:r>
        <w:t>”</w:t>
      </w:r>
      <w:r>
        <w:tab/>
      </w:r>
      <w:r>
        <w:fldChar w:fldCharType="begin"/>
      </w:r>
      <w:r>
        <w:instrText xml:space="preserve"> PAGEREF _Toc29874 \h </w:instrText>
      </w:r>
      <w:r>
        <w:fldChar w:fldCharType="separate"/>
      </w:r>
      <w:r>
        <w:t>6</w:t>
      </w:r>
      <w:r>
        <w:fldChar w:fldCharType="end"/>
      </w:r>
      <w:r>
        <w:fldChar w:fldCharType="end"/>
      </w:r>
    </w:p>
    <w:p w14:paraId="542B5549">
      <w:pPr>
        <w:pStyle w:val="12"/>
        <w:tabs>
          <w:tab w:val="right" w:leader="dot" w:pos="9026"/>
          <w:tab w:val="clear" w:pos="9016"/>
        </w:tabs>
      </w:pPr>
      <w:r>
        <w:fldChar w:fldCharType="begin"/>
      </w:r>
      <w:r>
        <w:instrText xml:space="preserve"> HYPERLINK \l _Toc4767 </w:instrText>
      </w:r>
      <w:r>
        <w:fldChar w:fldCharType="separate"/>
      </w:r>
      <w:r>
        <w:t>1.1 用户行为的变化：从“找资料”到“要结论”</w:t>
      </w:r>
      <w:r>
        <w:tab/>
      </w:r>
      <w:r>
        <w:fldChar w:fldCharType="begin"/>
      </w:r>
      <w:r>
        <w:instrText xml:space="preserve"> PAGEREF _Toc4767 \h </w:instrText>
      </w:r>
      <w:r>
        <w:fldChar w:fldCharType="separate"/>
      </w:r>
      <w:r>
        <w:t>6</w:t>
      </w:r>
      <w:r>
        <w:fldChar w:fldCharType="end"/>
      </w:r>
      <w:r>
        <w:fldChar w:fldCharType="end"/>
      </w:r>
    </w:p>
    <w:p w14:paraId="6383CE95">
      <w:pPr>
        <w:pStyle w:val="12"/>
        <w:tabs>
          <w:tab w:val="right" w:leader="dot" w:pos="9026"/>
          <w:tab w:val="clear" w:pos="9016"/>
        </w:tabs>
      </w:pPr>
      <w:r>
        <w:fldChar w:fldCharType="begin"/>
      </w:r>
      <w:r>
        <w:instrText xml:space="preserve"> HYPERLINK \l _Toc23129 </w:instrText>
      </w:r>
      <w:r>
        <w:fldChar w:fldCharType="separate"/>
      </w:r>
      <w:r>
        <w:t>1.2 搜索引擎优化（SEO）的范式重构：从排序逻辑到生成逻辑</w:t>
      </w:r>
      <w:r>
        <w:tab/>
      </w:r>
      <w:r>
        <w:fldChar w:fldCharType="begin"/>
      </w:r>
      <w:r>
        <w:instrText xml:space="preserve"> PAGEREF _Toc23129 \h </w:instrText>
      </w:r>
      <w:r>
        <w:fldChar w:fldCharType="separate"/>
      </w:r>
      <w:r>
        <w:t>7</w:t>
      </w:r>
      <w:r>
        <w:fldChar w:fldCharType="end"/>
      </w:r>
      <w:r>
        <w:fldChar w:fldCharType="end"/>
      </w:r>
    </w:p>
    <w:p w14:paraId="63DF49AB">
      <w:pPr>
        <w:pStyle w:val="12"/>
        <w:tabs>
          <w:tab w:val="right" w:leader="dot" w:pos="9026"/>
          <w:tab w:val="clear" w:pos="9016"/>
        </w:tabs>
      </w:pPr>
      <w:r>
        <w:fldChar w:fldCharType="begin"/>
      </w:r>
      <w:r>
        <w:instrText xml:space="preserve"> HYPERLINK \l _Toc13211 </w:instrText>
      </w:r>
      <w:r>
        <w:fldChar w:fldCharType="separate"/>
      </w:r>
      <w:r>
        <w:t>1.3 “认知主</w:t>
      </w:r>
      <w:r>
        <w:rPr>
          <w:rFonts w:hint="eastAsia"/>
          <w:lang w:val="en-US" w:eastAsia="zh-CN"/>
        </w:rPr>
        <w:t>导</w:t>
      </w:r>
      <w:r>
        <w:t>权”的含义：能否被系统稳定理解与引用</w:t>
      </w:r>
      <w:r>
        <w:tab/>
      </w:r>
      <w:r>
        <w:fldChar w:fldCharType="begin"/>
      </w:r>
      <w:r>
        <w:instrText xml:space="preserve"> PAGEREF _Toc13211 \h </w:instrText>
      </w:r>
      <w:r>
        <w:fldChar w:fldCharType="separate"/>
      </w:r>
      <w:r>
        <w:t>7</w:t>
      </w:r>
      <w:r>
        <w:fldChar w:fldCharType="end"/>
      </w:r>
      <w:r>
        <w:fldChar w:fldCharType="end"/>
      </w:r>
    </w:p>
    <w:p w14:paraId="7C48AEB4">
      <w:pPr>
        <w:pStyle w:val="12"/>
        <w:tabs>
          <w:tab w:val="right" w:leader="dot" w:pos="9026"/>
          <w:tab w:val="clear" w:pos="9016"/>
        </w:tabs>
      </w:pPr>
      <w:r>
        <w:fldChar w:fldCharType="begin"/>
      </w:r>
      <w:r>
        <w:instrText xml:space="preserve"> HYPERLINK \l _Toc6072 </w:instrText>
      </w:r>
      <w:r>
        <w:fldChar w:fldCharType="separate"/>
      </w:r>
      <w:r>
        <w:t>1.4 中国市场为何更快：入口融合与闭环更强</w:t>
      </w:r>
      <w:r>
        <w:tab/>
      </w:r>
      <w:r>
        <w:fldChar w:fldCharType="begin"/>
      </w:r>
      <w:r>
        <w:instrText xml:space="preserve"> PAGEREF _Toc6072 \h </w:instrText>
      </w:r>
      <w:r>
        <w:fldChar w:fldCharType="separate"/>
      </w:r>
      <w:r>
        <w:t>8</w:t>
      </w:r>
      <w:r>
        <w:fldChar w:fldCharType="end"/>
      </w:r>
      <w:r>
        <w:fldChar w:fldCharType="end"/>
      </w:r>
    </w:p>
    <w:p w14:paraId="7391AE46">
      <w:pPr>
        <w:pStyle w:val="12"/>
        <w:tabs>
          <w:tab w:val="right" w:leader="dot" w:pos="9026"/>
          <w:tab w:val="clear" w:pos="9016"/>
        </w:tabs>
      </w:pPr>
      <w:r>
        <w:fldChar w:fldCharType="begin"/>
      </w:r>
      <w:r>
        <w:instrText xml:space="preserve"> HYPERLINK \l _Toc22565 </w:instrText>
      </w:r>
      <w:r>
        <w:fldChar w:fldCharType="separate"/>
      </w:r>
      <w:r>
        <w:t>1.5 品牌在生成式语境下的“认知稀释”与隐性出局风险</w:t>
      </w:r>
      <w:r>
        <w:tab/>
      </w:r>
      <w:r>
        <w:fldChar w:fldCharType="begin"/>
      </w:r>
      <w:r>
        <w:instrText xml:space="preserve"> PAGEREF _Toc22565 \h </w:instrText>
      </w:r>
      <w:r>
        <w:fldChar w:fldCharType="separate"/>
      </w:r>
      <w:r>
        <w:t>8</w:t>
      </w:r>
      <w:r>
        <w:fldChar w:fldCharType="end"/>
      </w:r>
      <w:r>
        <w:fldChar w:fldCharType="end"/>
      </w:r>
    </w:p>
    <w:p w14:paraId="2708FE9C">
      <w:pPr>
        <w:pStyle w:val="20"/>
        <w:tabs>
          <w:tab w:val="right" w:leader="dot" w:pos="9026"/>
          <w:tab w:val="clear" w:pos="9016"/>
        </w:tabs>
      </w:pPr>
      <w:r>
        <w:fldChar w:fldCharType="begin"/>
      </w:r>
      <w:r>
        <w:instrText xml:space="preserve"> HYPERLINK \l _Toc23365 </w:instrText>
      </w:r>
      <w:r>
        <w:fldChar w:fldCharType="separate"/>
      </w:r>
      <w:r>
        <w:t xml:space="preserve">第二章 </w:t>
      </w:r>
      <w:r>
        <w:rPr>
          <w:rFonts w:hint="eastAsia"/>
          <w:lang w:val="en-US" w:eastAsia="zh-CN"/>
        </w:rPr>
        <w:t xml:space="preserve"> AI品牌资产建设：</w:t>
      </w:r>
      <w:r>
        <w:t>从“被发现”到“被引用”</w:t>
      </w:r>
      <w:r>
        <w:tab/>
      </w:r>
      <w:r>
        <w:fldChar w:fldCharType="begin"/>
      </w:r>
      <w:r>
        <w:instrText xml:space="preserve"> PAGEREF _Toc23365 \h </w:instrText>
      </w:r>
      <w:r>
        <w:fldChar w:fldCharType="separate"/>
      </w:r>
      <w:r>
        <w:t>9</w:t>
      </w:r>
      <w:r>
        <w:fldChar w:fldCharType="end"/>
      </w:r>
      <w:r>
        <w:fldChar w:fldCharType="end"/>
      </w:r>
    </w:p>
    <w:p w14:paraId="6202891F">
      <w:pPr>
        <w:pStyle w:val="12"/>
        <w:tabs>
          <w:tab w:val="right" w:leader="dot" w:pos="9026"/>
          <w:tab w:val="clear" w:pos="9016"/>
        </w:tabs>
      </w:pPr>
      <w:r>
        <w:fldChar w:fldCharType="begin"/>
      </w:r>
      <w:r>
        <w:instrText xml:space="preserve"> HYPERLINK \l _Toc9375 </w:instrText>
      </w:r>
      <w:r>
        <w:fldChar w:fldCharType="separate"/>
      </w:r>
      <w:r>
        <w:t>2.1 为什么需要</w:t>
      </w:r>
      <w:r>
        <w:rPr>
          <w:rFonts w:hint="eastAsia"/>
          <w:lang w:val="en-US" w:eastAsia="zh-CN"/>
        </w:rPr>
        <w:t>AI品牌资产建设</w:t>
      </w:r>
      <w:r>
        <w:t>：不是换概念，而是换了竞争逻辑</w:t>
      </w:r>
      <w:r>
        <w:tab/>
      </w:r>
      <w:r>
        <w:fldChar w:fldCharType="begin"/>
      </w:r>
      <w:r>
        <w:instrText xml:space="preserve"> PAGEREF _Toc9375 \h </w:instrText>
      </w:r>
      <w:r>
        <w:fldChar w:fldCharType="separate"/>
      </w:r>
      <w:r>
        <w:t>9</w:t>
      </w:r>
      <w:r>
        <w:fldChar w:fldCharType="end"/>
      </w:r>
      <w:r>
        <w:fldChar w:fldCharType="end"/>
      </w:r>
    </w:p>
    <w:p w14:paraId="46B24A0E">
      <w:pPr>
        <w:pStyle w:val="12"/>
        <w:tabs>
          <w:tab w:val="right" w:leader="dot" w:pos="9026"/>
          <w:tab w:val="clear" w:pos="9016"/>
        </w:tabs>
      </w:pPr>
      <w:r>
        <w:fldChar w:fldCharType="begin"/>
      </w:r>
      <w:r>
        <w:instrText xml:space="preserve"> HYPERLINK \l _Toc12433 </w:instrText>
      </w:r>
      <w:r>
        <w:fldChar w:fldCharType="separate"/>
      </w:r>
      <w:r>
        <w:t>2.2</w:t>
      </w:r>
      <w:r>
        <w:rPr>
          <w:rFonts w:hint="eastAsia" w:ascii="等线" w:hAnsi="等线" w:eastAsia="等线" w:cs="等线"/>
          <w:szCs w:val="32"/>
        </w:rPr>
        <w:t xml:space="preserve"> </w:t>
      </w:r>
      <w:r>
        <w:rPr>
          <w:rFonts w:hint="eastAsia" w:ascii="等线" w:hAnsi="等线" w:eastAsia="等线" w:cs="等线"/>
          <w:szCs w:val="28"/>
        </w:rPr>
        <w:t>AI 品牌资产建设</w:t>
      </w:r>
      <w:r>
        <w:t>三个层次：被发现、被选择、被引用</w:t>
      </w:r>
      <w:r>
        <w:tab/>
      </w:r>
      <w:r>
        <w:fldChar w:fldCharType="begin"/>
      </w:r>
      <w:r>
        <w:instrText xml:space="preserve"> PAGEREF _Toc12433 \h </w:instrText>
      </w:r>
      <w:r>
        <w:fldChar w:fldCharType="separate"/>
      </w:r>
      <w:r>
        <w:t>9</w:t>
      </w:r>
      <w:r>
        <w:fldChar w:fldCharType="end"/>
      </w:r>
      <w:r>
        <w:fldChar w:fldCharType="end"/>
      </w:r>
    </w:p>
    <w:p w14:paraId="1F5CD644">
      <w:pPr>
        <w:pStyle w:val="20"/>
        <w:tabs>
          <w:tab w:val="right" w:leader="dot" w:pos="9026"/>
          <w:tab w:val="clear" w:pos="9016"/>
        </w:tabs>
      </w:pPr>
      <w:r>
        <w:fldChar w:fldCharType="begin"/>
      </w:r>
      <w:r>
        <w:instrText xml:space="preserve"> HYPERLINK \l _Toc29736 </w:instrText>
      </w:r>
      <w:r>
        <w:fldChar w:fldCharType="separate"/>
      </w:r>
      <w:r>
        <w:t xml:space="preserve">2.3 </w:t>
      </w:r>
      <w:r>
        <w:rPr>
          <w:rFonts w:hint="eastAsia"/>
          <w:lang w:val="en-US" w:eastAsia="zh-CN"/>
        </w:rPr>
        <w:t>AI品牌资产建设的对象</w:t>
      </w:r>
      <w:r>
        <w:t>：从“内容产出”转向“品牌信息治理”</w:t>
      </w:r>
      <w:r>
        <w:tab/>
      </w:r>
      <w:r>
        <w:fldChar w:fldCharType="begin"/>
      </w:r>
      <w:r>
        <w:instrText xml:space="preserve"> PAGEREF _Toc29736 \h </w:instrText>
      </w:r>
      <w:r>
        <w:fldChar w:fldCharType="separate"/>
      </w:r>
      <w:r>
        <w:t>11</w:t>
      </w:r>
      <w:r>
        <w:fldChar w:fldCharType="end"/>
      </w:r>
      <w:r>
        <w:fldChar w:fldCharType="end"/>
      </w:r>
    </w:p>
    <w:p w14:paraId="4496A257">
      <w:pPr>
        <w:pStyle w:val="20"/>
        <w:tabs>
          <w:tab w:val="right" w:leader="dot" w:pos="9026"/>
          <w:tab w:val="clear" w:pos="9016"/>
        </w:tabs>
      </w:pPr>
      <w:r>
        <w:fldChar w:fldCharType="begin"/>
      </w:r>
      <w:r>
        <w:instrText xml:space="preserve"> HYPERLINK \l _Toc21708 </w:instrText>
      </w:r>
      <w:r>
        <w:fldChar w:fldCharType="separate"/>
      </w:r>
      <w:r>
        <w:rPr>
          <w:rFonts w:hint="eastAsia" w:ascii="等线" w:hAnsi="等线" w:eastAsia="等线" w:cs="等线"/>
          <w:bCs/>
        </w:rPr>
        <w:t>2.4 AI 品牌资产（AIBE）：品牌资产的新“存放位置”</w:t>
      </w:r>
      <w:r>
        <w:tab/>
      </w:r>
      <w:r>
        <w:fldChar w:fldCharType="begin"/>
      </w:r>
      <w:r>
        <w:instrText xml:space="preserve"> PAGEREF _Toc21708 \h </w:instrText>
      </w:r>
      <w:r>
        <w:fldChar w:fldCharType="separate"/>
      </w:r>
      <w:r>
        <w:t>12</w:t>
      </w:r>
      <w:r>
        <w:fldChar w:fldCharType="end"/>
      </w:r>
      <w:r>
        <w:fldChar w:fldCharType="end"/>
      </w:r>
    </w:p>
    <w:p w14:paraId="41C1CB28">
      <w:pPr>
        <w:pStyle w:val="20"/>
        <w:tabs>
          <w:tab w:val="right" w:leader="dot" w:pos="9026"/>
          <w:tab w:val="clear" w:pos="9016"/>
        </w:tabs>
      </w:pPr>
      <w:r>
        <w:fldChar w:fldCharType="begin"/>
      </w:r>
      <w:r>
        <w:instrText xml:space="preserve"> HYPERLINK \l _Toc19347 </w:instrText>
      </w:r>
      <w:r>
        <w:fldChar w:fldCharType="separate"/>
      </w:r>
      <w:r>
        <w:rPr>
          <w:rFonts w:hint="eastAsia" w:ascii="等线" w:hAnsi="等线" w:eastAsia="等线" w:cs="等线"/>
          <w:bCs/>
        </w:rPr>
        <w:t>2.5 AIBE 的五层路径：从可识别到可治理</w:t>
      </w:r>
      <w:r>
        <w:tab/>
      </w:r>
      <w:r>
        <w:fldChar w:fldCharType="begin"/>
      </w:r>
      <w:r>
        <w:instrText xml:space="preserve"> PAGEREF _Toc19347 \h </w:instrText>
      </w:r>
      <w:r>
        <w:fldChar w:fldCharType="separate"/>
      </w:r>
      <w:r>
        <w:t>12</w:t>
      </w:r>
      <w:r>
        <w:fldChar w:fldCharType="end"/>
      </w:r>
      <w:r>
        <w:fldChar w:fldCharType="end"/>
      </w:r>
    </w:p>
    <w:p w14:paraId="693E3618">
      <w:pPr>
        <w:pStyle w:val="20"/>
        <w:tabs>
          <w:tab w:val="right" w:leader="dot" w:pos="9026"/>
          <w:tab w:val="clear" w:pos="9016"/>
        </w:tabs>
      </w:pPr>
      <w:r>
        <w:fldChar w:fldCharType="begin"/>
      </w:r>
      <w:r>
        <w:instrText xml:space="preserve"> HYPERLINK \l _Toc3159 </w:instrText>
      </w:r>
      <w:r>
        <w:fldChar w:fldCharType="separate"/>
      </w:r>
      <w:r>
        <w:t>第三章 AI 如何“看见”品牌</w:t>
      </w:r>
      <w:r>
        <w:tab/>
      </w:r>
      <w:r>
        <w:fldChar w:fldCharType="begin"/>
      </w:r>
      <w:r>
        <w:instrText xml:space="preserve"> PAGEREF _Toc3159 \h </w:instrText>
      </w:r>
      <w:r>
        <w:fldChar w:fldCharType="separate"/>
      </w:r>
      <w:r>
        <w:t>14</w:t>
      </w:r>
      <w:r>
        <w:fldChar w:fldCharType="end"/>
      </w:r>
      <w:r>
        <w:fldChar w:fldCharType="end"/>
      </w:r>
    </w:p>
    <w:p w14:paraId="771D5BB0">
      <w:pPr>
        <w:pStyle w:val="12"/>
        <w:tabs>
          <w:tab w:val="right" w:leader="dot" w:pos="9026"/>
          <w:tab w:val="clear" w:pos="9016"/>
        </w:tabs>
      </w:pPr>
      <w:r>
        <w:fldChar w:fldCharType="begin"/>
      </w:r>
      <w:r>
        <w:instrText xml:space="preserve"> HYPERLINK \l _Toc19758 </w:instrText>
      </w:r>
      <w:r>
        <w:fldChar w:fldCharType="separate"/>
      </w:r>
      <w:r>
        <w:t>3.1 生成式引擎并非“更聪明的搜索”</w:t>
      </w:r>
      <w:r>
        <w:tab/>
      </w:r>
      <w:r>
        <w:fldChar w:fldCharType="begin"/>
      </w:r>
      <w:r>
        <w:instrText xml:space="preserve"> PAGEREF _Toc19758 \h </w:instrText>
      </w:r>
      <w:r>
        <w:fldChar w:fldCharType="separate"/>
      </w:r>
      <w:r>
        <w:t>14</w:t>
      </w:r>
      <w:r>
        <w:fldChar w:fldCharType="end"/>
      </w:r>
      <w:r>
        <w:fldChar w:fldCharType="end"/>
      </w:r>
    </w:p>
    <w:p w14:paraId="7A7C8507">
      <w:pPr>
        <w:pStyle w:val="12"/>
        <w:tabs>
          <w:tab w:val="right" w:leader="dot" w:pos="9026"/>
          <w:tab w:val="clear" w:pos="9016"/>
        </w:tabs>
      </w:pPr>
      <w:r>
        <w:fldChar w:fldCharType="begin"/>
      </w:r>
      <w:r>
        <w:instrText xml:space="preserve"> HYPERLINK \l _Toc27121 </w:instrText>
      </w:r>
      <w:r>
        <w:fldChar w:fldCharType="separate"/>
      </w:r>
      <w:r>
        <w:t>3.2 认知来源：长期认知、行为边界与即时证据</w:t>
      </w:r>
      <w:r>
        <w:tab/>
      </w:r>
      <w:r>
        <w:fldChar w:fldCharType="begin"/>
      </w:r>
      <w:r>
        <w:instrText xml:space="preserve"> PAGEREF _Toc27121 \h </w:instrText>
      </w:r>
      <w:r>
        <w:fldChar w:fldCharType="separate"/>
      </w:r>
      <w:r>
        <w:t>14</w:t>
      </w:r>
      <w:r>
        <w:fldChar w:fldCharType="end"/>
      </w:r>
      <w:r>
        <w:fldChar w:fldCharType="end"/>
      </w:r>
    </w:p>
    <w:p w14:paraId="63679FB3">
      <w:pPr>
        <w:pStyle w:val="12"/>
        <w:tabs>
          <w:tab w:val="right" w:leader="dot" w:pos="9026"/>
          <w:tab w:val="clear" w:pos="9016"/>
        </w:tabs>
      </w:pPr>
      <w:r>
        <w:fldChar w:fldCharType="begin"/>
      </w:r>
      <w:r>
        <w:instrText xml:space="preserve"> HYPERLINK \l _Toc31679 </w:instrText>
      </w:r>
      <w:r>
        <w:fldChar w:fldCharType="separate"/>
      </w:r>
      <w:r>
        <w:t>3.3 工作流程：检索路由、召回、重排与生成</w:t>
      </w:r>
      <w:r>
        <w:tab/>
      </w:r>
      <w:r>
        <w:fldChar w:fldCharType="begin"/>
      </w:r>
      <w:r>
        <w:instrText xml:space="preserve"> PAGEREF _Toc31679 \h </w:instrText>
      </w:r>
      <w:r>
        <w:fldChar w:fldCharType="separate"/>
      </w:r>
      <w:r>
        <w:t>15</w:t>
      </w:r>
      <w:r>
        <w:fldChar w:fldCharType="end"/>
      </w:r>
      <w:r>
        <w:fldChar w:fldCharType="end"/>
      </w:r>
    </w:p>
    <w:p w14:paraId="4FED0F52">
      <w:pPr>
        <w:pStyle w:val="12"/>
        <w:tabs>
          <w:tab w:val="right" w:leader="dot" w:pos="9026"/>
          <w:tab w:val="clear" w:pos="9016"/>
        </w:tabs>
      </w:pPr>
      <w:r>
        <w:fldChar w:fldCharType="begin"/>
      </w:r>
      <w:r>
        <w:instrText xml:space="preserve"> HYPERLINK \l _Toc15427 </w:instrText>
      </w:r>
      <w:r>
        <w:fldChar w:fldCharType="separate"/>
      </w:r>
      <w:r>
        <w:t>3.4 为什么品牌内容会被“过滤”</w:t>
      </w:r>
      <w:r>
        <w:tab/>
      </w:r>
      <w:r>
        <w:fldChar w:fldCharType="begin"/>
      </w:r>
      <w:r>
        <w:instrText xml:space="preserve"> PAGEREF _Toc15427 \h </w:instrText>
      </w:r>
      <w:r>
        <w:fldChar w:fldCharType="separate"/>
      </w:r>
      <w:r>
        <w:t>15</w:t>
      </w:r>
      <w:r>
        <w:fldChar w:fldCharType="end"/>
      </w:r>
      <w:r>
        <w:fldChar w:fldCharType="end"/>
      </w:r>
    </w:p>
    <w:p w14:paraId="4B5DF763">
      <w:pPr>
        <w:pStyle w:val="20"/>
        <w:tabs>
          <w:tab w:val="right" w:leader="dot" w:pos="9026"/>
          <w:tab w:val="clear" w:pos="9016"/>
        </w:tabs>
      </w:pPr>
      <w:r>
        <w:fldChar w:fldCharType="begin"/>
      </w:r>
      <w:r>
        <w:instrText xml:space="preserve"> HYPERLINK \l _Toc20058 </w:instrText>
      </w:r>
      <w:r>
        <w:fldChar w:fldCharType="separate"/>
      </w:r>
      <w:r>
        <w:t xml:space="preserve">第四章 </w:t>
      </w:r>
      <w:r>
        <w:rPr>
          <w:rFonts w:hint="eastAsia" w:ascii="等线" w:hAnsi="等线" w:eastAsia="等线" w:cs="等线"/>
          <w:szCs w:val="32"/>
        </w:rPr>
        <w:t>中国 AI 品牌资产行业现状：从概念热潮走向规则收敛</w:t>
      </w:r>
      <w:r>
        <w:tab/>
      </w:r>
      <w:r>
        <w:fldChar w:fldCharType="begin"/>
      </w:r>
      <w:r>
        <w:instrText xml:space="preserve"> PAGEREF _Toc20058 \h </w:instrText>
      </w:r>
      <w:r>
        <w:fldChar w:fldCharType="separate"/>
      </w:r>
      <w:r>
        <w:t>17</w:t>
      </w:r>
      <w:r>
        <w:fldChar w:fldCharType="end"/>
      </w:r>
      <w:r>
        <w:fldChar w:fldCharType="end"/>
      </w:r>
    </w:p>
    <w:p w14:paraId="46C78C88">
      <w:pPr>
        <w:pStyle w:val="20"/>
        <w:tabs>
          <w:tab w:val="right" w:leader="dot" w:pos="9026"/>
          <w:tab w:val="clear" w:pos="9016"/>
        </w:tabs>
      </w:pPr>
      <w:r>
        <w:fldChar w:fldCharType="begin"/>
      </w:r>
      <w:r>
        <w:instrText xml:space="preserve"> HYPERLINK \l _Toc15577 </w:instrText>
      </w:r>
      <w:r>
        <w:fldChar w:fldCharType="separate"/>
      </w:r>
      <w:r>
        <w:t>4.1 行业所处阶段：高增长与前标准期并存</w:t>
      </w:r>
      <w:r>
        <w:tab/>
      </w:r>
      <w:r>
        <w:fldChar w:fldCharType="begin"/>
      </w:r>
      <w:r>
        <w:instrText xml:space="preserve"> PAGEREF _Toc15577 \h </w:instrText>
      </w:r>
      <w:r>
        <w:fldChar w:fldCharType="separate"/>
      </w:r>
      <w:r>
        <w:t>17</w:t>
      </w:r>
      <w:r>
        <w:fldChar w:fldCharType="end"/>
      </w:r>
      <w:r>
        <w:fldChar w:fldCharType="end"/>
      </w:r>
    </w:p>
    <w:p w14:paraId="67D1C448">
      <w:pPr>
        <w:pStyle w:val="12"/>
        <w:tabs>
          <w:tab w:val="right" w:leader="dot" w:pos="9026"/>
          <w:tab w:val="clear" w:pos="9016"/>
        </w:tabs>
      </w:pPr>
      <w:r>
        <w:fldChar w:fldCharType="begin"/>
      </w:r>
      <w:r>
        <w:instrText xml:space="preserve"> HYPERLINK \l _Toc25603 </w:instrText>
      </w:r>
      <w:r>
        <w:fldChar w:fldCharType="separate"/>
      </w:r>
      <w:r>
        <w:t>4.2 当下行业乱象：虚假信息、套用旧方法与不可验证承诺</w:t>
      </w:r>
      <w:r>
        <w:tab/>
      </w:r>
      <w:r>
        <w:fldChar w:fldCharType="begin"/>
      </w:r>
      <w:r>
        <w:instrText xml:space="preserve"> PAGEREF _Toc25603 \h </w:instrText>
      </w:r>
      <w:r>
        <w:fldChar w:fldCharType="separate"/>
      </w:r>
      <w:r>
        <w:t>18</w:t>
      </w:r>
      <w:r>
        <w:fldChar w:fldCharType="end"/>
      </w:r>
      <w:r>
        <w:fldChar w:fldCharType="end"/>
      </w:r>
    </w:p>
    <w:p w14:paraId="1AE82E45">
      <w:pPr>
        <w:pStyle w:val="20"/>
        <w:tabs>
          <w:tab w:val="right" w:leader="dot" w:pos="9026"/>
          <w:tab w:val="clear" w:pos="9016"/>
        </w:tabs>
      </w:pPr>
      <w:r>
        <w:fldChar w:fldCharType="begin"/>
      </w:r>
      <w:r>
        <w:instrText xml:space="preserve"> HYPERLINK \l _Toc13252 </w:instrText>
      </w:r>
      <w:r>
        <w:fldChar w:fldCharType="separate"/>
      </w:r>
      <w:r>
        <w:rPr>
          <w:rFonts w:hint="eastAsia" w:ascii="等线" w:hAnsi="等线" w:eastAsia="等线" w:cs="等线"/>
          <w:bCs/>
        </w:rPr>
        <w:t>4.3 行业正在从机会叙事转向原则表达</w:t>
      </w:r>
      <w:r>
        <w:tab/>
      </w:r>
      <w:r>
        <w:fldChar w:fldCharType="begin"/>
      </w:r>
      <w:r>
        <w:instrText xml:space="preserve"> PAGEREF _Toc13252 \h </w:instrText>
      </w:r>
      <w:r>
        <w:fldChar w:fldCharType="separate"/>
      </w:r>
      <w:r>
        <w:t>19</w:t>
      </w:r>
      <w:r>
        <w:fldChar w:fldCharType="end"/>
      </w:r>
      <w:r>
        <w:fldChar w:fldCharType="end"/>
      </w:r>
    </w:p>
    <w:p w14:paraId="75E603F2">
      <w:pPr>
        <w:pStyle w:val="12"/>
        <w:tabs>
          <w:tab w:val="right" w:leader="dot" w:pos="9026"/>
          <w:tab w:val="clear" w:pos="9016"/>
        </w:tabs>
      </w:pPr>
      <w:r>
        <w:fldChar w:fldCharType="begin"/>
      </w:r>
      <w:r>
        <w:instrText xml:space="preserve"> HYPERLINK \l _Toc23859 </w:instrText>
      </w:r>
      <w:r>
        <w:fldChar w:fldCharType="separate"/>
      </w:r>
      <w:r>
        <w:rPr>
          <w:rFonts w:hint="eastAsia"/>
        </w:rPr>
        <w:t>4</w:t>
      </w:r>
      <w:r>
        <w:t>.4 标准化的现实路径：平台隐性规则、机构口径统一与品牌方审计倒逼</w:t>
      </w:r>
      <w:r>
        <w:tab/>
      </w:r>
      <w:r>
        <w:fldChar w:fldCharType="begin"/>
      </w:r>
      <w:r>
        <w:instrText xml:space="preserve"> PAGEREF _Toc23859 \h </w:instrText>
      </w:r>
      <w:r>
        <w:fldChar w:fldCharType="separate"/>
      </w:r>
      <w:r>
        <w:t>19</w:t>
      </w:r>
      <w:r>
        <w:fldChar w:fldCharType="end"/>
      </w:r>
      <w:r>
        <w:fldChar w:fldCharType="end"/>
      </w:r>
    </w:p>
    <w:p w14:paraId="74A00114">
      <w:pPr>
        <w:pStyle w:val="12"/>
        <w:tabs>
          <w:tab w:val="right" w:leader="dot" w:pos="9026"/>
          <w:tab w:val="clear" w:pos="9016"/>
        </w:tabs>
      </w:pPr>
      <w:r>
        <w:fldChar w:fldCharType="begin"/>
      </w:r>
      <w:r>
        <w:instrText xml:space="preserve"> HYPERLINK \l _Toc7551 </w:instrText>
      </w:r>
      <w:r>
        <w:fldChar w:fldCharType="separate"/>
      </w:r>
      <w:r>
        <w:rPr>
          <w:rFonts w:hint="eastAsia"/>
        </w:rPr>
        <w:t>4</w:t>
      </w:r>
      <w:r>
        <w:t>.5 服务生态将分化：认知治理、工程交付与短期套利的边界</w:t>
      </w:r>
      <w:r>
        <w:tab/>
      </w:r>
      <w:r>
        <w:fldChar w:fldCharType="begin"/>
      </w:r>
      <w:r>
        <w:instrText xml:space="preserve"> PAGEREF _Toc7551 \h </w:instrText>
      </w:r>
      <w:r>
        <w:fldChar w:fldCharType="separate"/>
      </w:r>
      <w:r>
        <w:t>19</w:t>
      </w:r>
      <w:r>
        <w:fldChar w:fldCharType="end"/>
      </w:r>
      <w:r>
        <w:fldChar w:fldCharType="end"/>
      </w:r>
    </w:p>
    <w:p w14:paraId="130204F4">
      <w:pPr>
        <w:pStyle w:val="20"/>
        <w:tabs>
          <w:tab w:val="right" w:leader="dot" w:pos="9026"/>
          <w:tab w:val="clear" w:pos="9016"/>
        </w:tabs>
      </w:pPr>
      <w:r>
        <w:fldChar w:fldCharType="begin"/>
      </w:r>
      <w:r>
        <w:instrText xml:space="preserve"> HYPERLINK \l _Toc21182 </w:instrText>
      </w:r>
      <w:r>
        <w:fldChar w:fldCharType="separate"/>
      </w:r>
      <w:r>
        <w:rPr>
          <w:rFonts w:hint="eastAsia" w:ascii="等线" w:hAnsi="等线" w:eastAsia="等线" w:cs="等线"/>
          <w:bCs/>
        </w:rPr>
        <w:t>4.6 对品牌方的建议：优先选择“可解释、可验证、可审计”的合作模式</w:t>
      </w:r>
      <w:r>
        <w:tab/>
      </w:r>
      <w:r>
        <w:fldChar w:fldCharType="begin"/>
      </w:r>
      <w:r>
        <w:instrText xml:space="preserve"> PAGEREF _Toc21182 \h </w:instrText>
      </w:r>
      <w:r>
        <w:fldChar w:fldCharType="separate"/>
      </w:r>
      <w:r>
        <w:t>20</w:t>
      </w:r>
      <w:r>
        <w:fldChar w:fldCharType="end"/>
      </w:r>
      <w:r>
        <w:fldChar w:fldCharType="end"/>
      </w:r>
    </w:p>
    <w:p w14:paraId="1A772819">
      <w:pPr>
        <w:pStyle w:val="20"/>
        <w:tabs>
          <w:tab w:val="right" w:leader="dot" w:pos="9026"/>
          <w:tab w:val="clear" w:pos="9016"/>
        </w:tabs>
      </w:pPr>
      <w:r>
        <w:fldChar w:fldCharType="begin"/>
      </w:r>
      <w:r>
        <w:instrText xml:space="preserve"> HYPERLINK \l _Toc3278 </w:instrText>
      </w:r>
      <w:r>
        <w:fldChar w:fldCharType="separate"/>
      </w:r>
      <w:r>
        <w:rPr>
          <w:rFonts w:hint="eastAsia" w:ascii="等线" w:hAnsi="等线" w:eastAsia="等线" w:cs="等线"/>
          <w:bCs/>
        </w:rPr>
        <w:t>4.7 三类典型误区：战略错位、执行失真与评估失焦</w:t>
      </w:r>
      <w:r>
        <w:tab/>
      </w:r>
      <w:r>
        <w:fldChar w:fldCharType="begin"/>
      </w:r>
      <w:r>
        <w:instrText xml:space="preserve"> PAGEREF _Toc3278 \h </w:instrText>
      </w:r>
      <w:r>
        <w:fldChar w:fldCharType="separate"/>
      </w:r>
      <w:r>
        <w:t>20</w:t>
      </w:r>
      <w:r>
        <w:fldChar w:fldCharType="end"/>
      </w:r>
      <w:r>
        <w:fldChar w:fldCharType="end"/>
      </w:r>
    </w:p>
    <w:p w14:paraId="66AB3FE8">
      <w:pPr>
        <w:pStyle w:val="20"/>
        <w:tabs>
          <w:tab w:val="right" w:leader="dot" w:pos="9026"/>
          <w:tab w:val="clear" w:pos="9016"/>
        </w:tabs>
      </w:pPr>
      <w:r>
        <w:fldChar w:fldCharType="begin"/>
      </w:r>
      <w:r>
        <w:instrText xml:space="preserve"> HYPERLINK \l _Toc23720 </w:instrText>
      </w:r>
      <w:r>
        <w:fldChar w:fldCharType="separate"/>
      </w:r>
      <w:r>
        <w:t>第</w:t>
      </w:r>
      <w:r>
        <w:rPr>
          <w:rFonts w:hint="eastAsia"/>
        </w:rPr>
        <w:t>五</w:t>
      </w:r>
      <w:r>
        <w:t>章 行业落地指南：不同赛道的“认知主</w:t>
      </w:r>
      <w:r>
        <w:rPr>
          <w:rFonts w:hint="eastAsia"/>
          <w:lang w:val="en-US" w:eastAsia="zh-CN"/>
        </w:rPr>
        <w:t>导</w:t>
      </w:r>
      <w:r>
        <w:t>权”争夺战</w:t>
      </w:r>
      <w:r>
        <w:tab/>
      </w:r>
      <w:r>
        <w:fldChar w:fldCharType="begin"/>
      </w:r>
      <w:r>
        <w:instrText xml:space="preserve"> PAGEREF _Toc23720 \h </w:instrText>
      </w:r>
      <w:r>
        <w:fldChar w:fldCharType="separate"/>
      </w:r>
      <w:r>
        <w:t>22</w:t>
      </w:r>
      <w:r>
        <w:fldChar w:fldCharType="end"/>
      </w:r>
      <w:r>
        <w:fldChar w:fldCharType="end"/>
      </w:r>
    </w:p>
    <w:p w14:paraId="1515F266">
      <w:pPr>
        <w:pStyle w:val="12"/>
        <w:tabs>
          <w:tab w:val="right" w:leader="dot" w:pos="9026"/>
          <w:tab w:val="clear" w:pos="9016"/>
        </w:tabs>
      </w:pPr>
      <w:r>
        <w:fldChar w:fldCharType="begin"/>
      </w:r>
      <w:r>
        <w:instrText xml:space="preserve"> HYPERLINK \l _Toc4265 </w:instrText>
      </w:r>
      <w:r>
        <w:fldChar w:fldCharType="separate"/>
      </w:r>
      <w:r>
        <w:rPr>
          <w:rFonts w:hint="eastAsia" w:ascii="等线" w:hAnsi="等线" w:eastAsia="等线" w:cs="等线"/>
        </w:rPr>
        <w:t>5.1 企业服务（SaaS/工业/B2B）：从“流量曝光”转向“专业代入”</w:t>
      </w:r>
      <w:r>
        <w:tab/>
      </w:r>
      <w:r>
        <w:fldChar w:fldCharType="begin"/>
      </w:r>
      <w:r>
        <w:instrText xml:space="preserve"> PAGEREF _Toc4265 \h </w:instrText>
      </w:r>
      <w:r>
        <w:fldChar w:fldCharType="separate"/>
      </w:r>
      <w:r>
        <w:t>22</w:t>
      </w:r>
      <w:r>
        <w:fldChar w:fldCharType="end"/>
      </w:r>
      <w:r>
        <w:fldChar w:fldCharType="end"/>
      </w:r>
    </w:p>
    <w:p w14:paraId="463EB3A9">
      <w:pPr>
        <w:pStyle w:val="12"/>
        <w:tabs>
          <w:tab w:val="right" w:leader="dot" w:pos="9026"/>
          <w:tab w:val="clear" w:pos="9016"/>
        </w:tabs>
      </w:pPr>
      <w:r>
        <w:fldChar w:fldCharType="begin"/>
      </w:r>
      <w:r>
        <w:instrText xml:space="preserve"> HYPERLINK \l _Toc28910 </w:instrText>
      </w:r>
      <w:r>
        <w:fldChar w:fldCharType="separate"/>
      </w:r>
      <w:r>
        <w:rPr>
          <w:rFonts w:hint="eastAsia"/>
        </w:rPr>
        <w:t>5.2 零售与电商：从“搜索排名”转向“消费意图精准匹配”</w:t>
      </w:r>
      <w:r>
        <w:tab/>
      </w:r>
      <w:r>
        <w:fldChar w:fldCharType="begin"/>
      </w:r>
      <w:r>
        <w:instrText xml:space="preserve"> PAGEREF _Toc28910 \h </w:instrText>
      </w:r>
      <w:r>
        <w:fldChar w:fldCharType="separate"/>
      </w:r>
      <w:r>
        <w:t>22</w:t>
      </w:r>
      <w:r>
        <w:fldChar w:fldCharType="end"/>
      </w:r>
      <w:r>
        <w:fldChar w:fldCharType="end"/>
      </w:r>
    </w:p>
    <w:p w14:paraId="4822FB3A">
      <w:pPr>
        <w:pStyle w:val="12"/>
        <w:tabs>
          <w:tab w:val="right" w:leader="dot" w:pos="9026"/>
          <w:tab w:val="clear" w:pos="9016"/>
        </w:tabs>
      </w:pPr>
      <w:r>
        <w:fldChar w:fldCharType="begin"/>
      </w:r>
      <w:r>
        <w:instrText xml:space="preserve"> HYPERLINK \l _Toc26229 </w:instrText>
      </w:r>
      <w:r>
        <w:fldChar w:fldCharType="separate"/>
      </w:r>
      <w:r>
        <w:rPr>
          <w:rFonts w:hint="eastAsia"/>
        </w:rPr>
        <w:t>5.3 本地生活（餐饮/酒旅/生活服务）：从“高分评价”转向“即时消费路由”</w:t>
      </w:r>
      <w:r>
        <w:tab/>
      </w:r>
      <w:r>
        <w:fldChar w:fldCharType="begin"/>
      </w:r>
      <w:r>
        <w:instrText xml:space="preserve"> PAGEREF _Toc26229 \h </w:instrText>
      </w:r>
      <w:r>
        <w:fldChar w:fldCharType="separate"/>
      </w:r>
      <w:r>
        <w:t>23</w:t>
      </w:r>
      <w:r>
        <w:fldChar w:fldCharType="end"/>
      </w:r>
      <w:r>
        <w:fldChar w:fldCharType="end"/>
      </w:r>
    </w:p>
    <w:p w14:paraId="60279E2E">
      <w:pPr>
        <w:pStyle w:val="12"/>
        <w:tabs>
          <w:tab w:val="right" w:leader="dot" w:pos="9026"/>
          <w:tab w:val="clear" w:pos="9016"/>
        </w:tabs>
      </w:pPr>
      <w:r>
        <w:fldChar w:fldCharType="begin"/>
      </w:r>
      <w:r>
        <w:instrText xml:space="preserve"> HYPERLINK \l _Toc24912 </w:instrText>
      </w:r>
      <w:r>
        <w:fldChar w:fldCharType="separate"/>
      </w:r>
      <w:r>
        <w:rPr>
          <w:rFonts w:hint="eastAsia"/>
        </w:rPr>
        <w:t>5.4 内容IP与教育文旅：从“单向输出”转向“交互式生态搭建”</w:t>
      </w:r>
      <w:r>
        <w:tab/>
      </w:r>
      <w:r>
        <w:fldChar w:fldCharType="begin"/>
      </w:r>
      <w:r>
        <w:instrText xml:space="preserve"> PAGEREF _Toc24912 \h </w:instrText>
      </w:r>
      <w:r>
        <w:fldChar w:fldCharType="separate"/>
      </w:r>
      <w:r>
        <w:t>23</w:t>
      </w:r>
      <w:r>
        <w:fldChar w:fldCharType="end"/>
      </w:r>
      <w:r>
        <w:fldChar w:fldCharType="end"/>
      </w:r>
    </w:p>
    <w:p w14:paraId="6D10ED6D">
      <w:pPr>
        <w:pStyle w:val="12"/>
        <w:tabs>
          <w:tab w:val="right" w:leader="dot" w:pos="9026"/>
          <w:tab w:val="clear" w:pos="9016"/>
        </w:tabs>
      </w:pPr>
      <w:r>
        <w:fldChar w:fldCharType="begin"/>
      </w:r>
      <w:r>
        <w:instrText xml:space="preserve"> HYPERLINK \l _Toc17179 </w:instrText>
      </w:r>
      <w:r>
        <w:fldChar w:fldCharType="separate"/>
      </w:r>
      <w:r>
        <w:rPr>
          <w:rFonts w:hint="eastAsia"/>
        </w:rPr>
        <w:t>5.5 强合规行业（医疗/金融/法律）：从“模糊回答”转向“权威合规源”</w:t>
      </w:r>
      <w:r>
        <w:tab/>
      </w:r>
      <w:r>
        <w:fldChar w:fldCharType="begin"/>
      </w:r>
      <w:r>
        <w:instrText xml:space="preserve"> PAGEREF _Toc17179 \h </w:instrText>
      </w:r>
      <w:r>
        <w:fldChar w:fldCharType="separate"/>
      </w:r>
      <w:r>
        <w:t>23</w:t>
      </w:r>
      <w:r>
        <w:fldChar w:fldCharType="end"/>
      </w:r>
      <w:r>
        <w:fldChar w:fldCharType="end"/>
      </w:r>
    </w:p>
    <w:p w14:paraId="16C8D449">
      <w:pPr>
        <w:pStyle w:val="20"/>
        <w:tabs>
          <w:tab w:val="right" w:leader="dot" w:pos="9026"/>
          <w:tab w:val="clear" w:pos="9016"/>
        </w:tabs>
      </w:pPr>
      <w:r>
        <w:fldChar w:fldCharType="begin"/>
      </w:r>
      <w:r>
        <w:instrText xml:space="preserve"> HYPERLINK \l _Toc14488 </w:instrText>
      </w:r>
      <w:r>
        <w:fldChar w:fldCharType="separate"/>
      </w:r>
      <w:r>
        <w:t xml:space="preserve">第六章 </w:t>
      </w:r>
      <w:r>
        <w:rPr>
          <w:rFonts w:hint="eastAsia"/>
          <w:lang w:val="en-US" w:eastAsia="zh-CN"/>
        </w:rPr>
        <w:t>AI品牌资产建设</w:t>
      </w:r>
      <w:r>
        <w:t>的方法论：从语义定位到答案资产</w:t>
      </w:r>
      <w:r>
        <w:tab/>
      </w:r>
      <w:r>
        <w:fldChar w:fldCharType="begin"/>
      </w:r>
      <w:r>
        <w:instrText xml:space="preserve"> PAGEREF _Toc14488 \h </w:instrText>
      </w:r>
      <w:r>
        <w:fldChar w:fldCharType="separate"/>
      </w:r>
      <w:r>
        <w:t>25</w:t>
      </w:r>
      <w:r>
        <w:fldChar w:fldCharType="end"/>
      </w:r>
      <w:r>
        <w:fldChar w:fldCharType="end"/>
      </w:r>
    </w:p>
    <w:p w14:paraId="56EFDA62">
      <w:pPr>
        <w:pStyle w:val="20"/>
        <w:tabs>
          <w:tab w:val="right" w:leader="dot" w:pos="9026"/>
          <w:tab w:val="clear" w:pos="9016"/>
        </w:tabs>
      </w:pPr>
      <w:r>
        <w:fldChar w:fldCharType="begin"/>
      </w:r>
      <w:r>
        <w:instrText xml:space="preserve"> HYPERLINK \l _Toc4538 </w:instrText>
      </w:r>
      <w:r>
        <w:fldChar w:fldCharType="separate"/>
      </w:r>
      <w:r>
        <w:rPr>
          <w:rFonts w:hint="eastAsia" w:ascii="等线" w:hAnsi="等线" w:eastAsia="等线" w:cs="等线"/>
          <w:bCs/>
        </w:rPr>
        <w:t>6.1 核心工作：从“多写内容”转向“提供可信、可用的答案”</w:t>
      </w:r>
      <w:r>
        <w:tab/>
      </w:r>
      <w:r>
        <w:fldChar w:fldCharType="begin"/>
      </w:r>
      <w:r>
        <w:instrText xml:space="preserve"> PAGEREF _Toc4538 \h </w:instrText>
      </w:r>
      <w:r>
        <w:fldChar w:fldCharType="separate"/>
      </w:r>
      <w:r>
        <w:t>25</w:t>
      </w:r>
      <w:r>
        <w:fldChar w:fldCharType="end"/>
      </w:r>
      <w:r>
        <w:fldChar w:fldCharType="end"/>
      </w:r>
    </w:p>
    <w:p w14:paraId="29C9BB6C">
      <w:pPr>
        <w:pStyle w:val="12"/>
        <w:tabs>
          <w:tab w:val="right" w:leader="dot" w:pos="9026"/>
          <w:tab w:val="clear" w:pos="9016"/>
        </w:tabs>
      </w:pPr>
      <w:r>
        <w:fldChar w:fldCharType="begin"/>
      </w:r>
      <w:r>
        <w:instrText xml:space="preserve"> HYPERLINK \l _Toc31478 </w:instrText>
      </w:r>
      <w:r>
        <w:fldChar w:fldCharType="separate"/>
      </w:r>
      <w:r>
        <w:rPr>
          <w:rFonts w:hint="eastAsia"/>
        </w:rPr>
        <w:t>6</w:t>
      </w:r>
      <w:r>
        <w:t>.2 “答案资产”作为最小单元：品牌需要提供可被引用的答案块</w:t>
      </w:r>
      <w:r>
        <w:tab/>
      </w:r>
      <w:r>
        <w:fldChar w:fldCharType="begin"/>
      </w:r>
      <w:r>
        <w:instrText xml:space="preserve"> PAGEREF _Toc31478 \h </w:instrText>
      </w:r>
      <w:r>
        <w:fldChar w:fldCharType="separate"/>
      </w:r>
      <w:r>
        <w:t>25</w:t>
      </w:r>
      <w:r>
        <w:fldChar w:fldCharType="end"/>
      </w:r>
      <w:r>
        <w:fldChar w:fldCharType="end"/>
      </w:r>
    </w:p>
    <w:p w14:paraId="5D3DD7F8">
      <w:pPr>
        <w:pStyle w:val="12"/>
        <w:tabs>
          <w:tab w:val="right" w:leader="dot" w:pos="9026"/>
          <w:tab w:val="clear" w:pos="9016"/>
        </w:tabs>
      </w:pPr>
      <w:r>
        <w:fldChar w:fldCharType="begin"/>
      </w:r>
      <w:r>
        <w:instrText xml:space="preserve"> HYPERLINK \l _Toc15626 </w:instrText>
      </w:r>
      <w:r>
        <w:fldChar w:fldCharType="separate"/>
      </w:r>
      <w:r>
        <w:rPr>
          <w:rFonts w:hint="eastAsia"/>
        </w:rPr>
        <w:t>6</w:t>
      </w:r>
      <w:r>
        <w:t>.3 品牌语义定位：让系统“认得出、分得清、想得起”</w:t>
      </w:r>
      <w:r>
        <w:tab/>
      </w:r>
      <w:r>
        <w:fldChar w:fldCharType="begin"/>
      </w:r>
      <w:r>
        <w:instrText xml:space="preserve"> PAGEREF _Toc15626 \h </w:instrText>
      </w:r>
      <w:r>
        <w:fldChar w:fldCharType="separate"/>
      </w:r>
      <w:r>
        <w:t>26</w:t>
      </w:r>
      <w:r>
        <w:fldChar w:fldCharType="end"/>
      </w:r>
      <w:r>
        <w:fldChar w:fldCharType="end"/>
      </w:r>
    </w:p>
    <w:p w14:paraId="7252BAB0">
      <w:pPr>
        <w:pStyle w:val="12"/>
        <w:tabs>
          <w:tab w:val="right" w:leader="dot" w:pos="9026"/>
          <w:tab w:val="clear" w:pos="9016"/>
        </w:tabs>
      </w:pPr>
      <w:r>
        <w:fldChar w:fldCharType="begin"/>
      </w:r>
      <w:r>
        <w:instrText xml:space="preserve"> HYPERLINK \l _Toc10858 </w:instrText>
      </w:r>
      <w:r>
        <w:fldChar w:fldCharType="separate"/>
      </w:r>
      <w:r>
        <w:rPr>
          <w:rFonts w:hint="eastAsia"/>
        </w:rPr>
        <w:t>6</w:t>
      </w:r>
      <w:r>
        <w:t>.4 “</w:t>
      </w:r>
      <w:r>
        <w:rPr>
          <w:rFonts w:hint="eastAsia"/>
        </w:rPr>
        <w:t>问题集</w:t>
      </w:r>
      <w:r>
        <w:t>”建设：从关键词清单转向问题场景覆盖</w:t>
      </w:r>
      <w:r>
        <w:tab/>
      </w:r>
      <w:r>
        <w:fldChar w:fldCharType="begin"/>
      </w:r>
      <w:r>
        <w:instrText xml:space="preserve"> PAGEREF _Toc10858 \h </w:instrText>
      </w:r>
      <w:r>
        <w:fldChar w:fldCharType="separate"/>
      </w:r>
      <w:r>
        <w:t>26</w:t>
      </w:r>
      <w:r>
        <w:fldChar w:fldCharType="end"/>
      </w:r>
      <w:r>
        <w:fldChar w:fldCharType="end"/>
      </w:r>
    </w:p>
    <w:p w14:paraId="7AAD6C34">
      <w:pPr>
        <w:pStyle w:val="12"/>
        <w:tabs>
          <w:tab w:val="right" w:leader="dot" w:pos="9026"/>
          <w:tab w:val="clear" w:pos="9016"/>
        </w:tabs>
      </w:pPr>
      <w:r>
        <w:fldChar w:fldCharType="begin"/>
      </w:r>
      <w:r>
        <w:instrText xml:space="preserve"> HYPERLINK \l _Toc165 </w:instrText>
      </w:r>
      <w:r>
        <w:fldChar w:fldCharType="separate"/>
      </w:r>
      <w:r>
        <w:rPr>
          <w:rFonts w:hint="eastAsia"/>
        </w:rPr>
        <w:t>6</w:t>
      </w:r>
      <w:r>
        <w:t>.5 引用资产与权威背书：让答案“有出处”，让系统“更敢用”</w:t>
      </w:r>
      <w:r>
        <w:tab/>
      </w:r>
      <w:r>
        <w:fldChar w:fldCharType="begin"/>
      </w:r>
      <w:r>
        <w:instrText xml:space="preserve"> PAGEREF _Toc165 \h </w:instrText>
      </w:r>
      <w:r>
        <w:fldChar w:fldCharType="separate"/>
      </w:r>
      <w:r>
        <w:t>27</w:t>
      </w:r>
      <w:r>
        <w:fldChar w:fldCharType="end"/>
      </w:r>
      <w:r>
        <w:fldChar w:fldCharType="end"/>
      </w:r>
    </w:p>
    <w:p w14:paraId="1069EEE3">
      <w:pPr>
        <w:pStyle w:val="12"/>
        <w:tabs>
          <w:tab w:val="right" w:leader="dot" w:pos="9026"/>
          <w:tab w:val="clear" w:pos="9016"/>
        </w:tabs>
      </w:pPr>
      <w:r>
        <w:fldChar w:fldCharType="begin"/>
      </w:r>
      <w:r>
        <w:instrText xml:space="preserve"> HYPERLINK \l _Toc14164 </w:instrText>
      </w:r>
      <w:r>
        <w:fldChar w:fldCharType="separate"/>
      </w:r>
      <w:r>
        <w:rPr>
          <w:rFonts w:hint="eastAsia"/>
        </w:rPr>
        <w:t>6</w:t>
      </w:r>
      <w:r>
        <w:t>.6 CREATE 方法框架：将零散动作固化为可持续体系</w:t>
      </w:r>
      <w:r>
        <w:tab/>
      </w:r>
      <w:r>
        <w:fldChar w:fldCharType="begin"/>
      </w:r>
      <w:r>
        <w:instrText xml:space="preserve"> PAGEREF _Toc14164 \h </w:instrText>
      </w:r>
      <w:r>
        <w:fldChar w:fldCharType="separate"/>
      </w:r>
      <w:r>
        <w:t>27</w:t>
      </w:r>
      <w:r>
        <w:fldChar w:fldCharType="end"/>
      </w:r>
      <w:r>
        <w:fldChar w:fldCharType="end"/>
      </w:r>
    </w:p>
    <w:p w14:paraId="4951F588">
      <w:pPr>
        <w:pStyle w:val="20"/>
        <w:tabs>
          <w:tab w:val="right" w:leader="dot" w:pos="9026"/>
          <w:tab w:val="clear" w:pos="9016"/>
        </w:tabs>
      </w:pPr>
      <w:r>
        <w:fldChar w:fldCharType="begin"/>
      </w:r>
      <w:r>
        <w:instrText xml:space="preserve"> HYPERLINK \l _Toc27091 </w:instrText>
      </w:r>
      <w:r>
        <w:fldChar w:fldCharType="separate"/>
      </w:r>
      <w:r>
        <w:t xml:space="preserve">第七章 </w:t>
      </w:r>
      <w:r>
        <w:rPr>
          <w:rFonts w:hint="eastAsia" w:ascii="等线" w:hAnsi="等线" w:eastAsia="等线" w:cs="等线"/>
          <w:szCs w:val="32"/>
        </w:rPr>
        <w:t>指标体系：从“点击”到“品牌在AI中的表现与治理”</w:t>
      </w:r>
      <w:r>
        <w:tab/>
      </w:r>
      <w:r>
        <w:fldChar w:fldCharType="begin"/>
      </w:r>
      <w:r>
        <w:instrText xml:space="preserve"> PAGEREF _Toc27091 \h </w:instrText>
      </w:r>
      <w:r>
        <w:fldChar w:fldCharType="separate"/>
      </w:r>
      <w:r>
        <w:t>28</w:t>
      </w:r>
      <w:r>
        <w:fldChar w:fldCharType="end"/>
      </w:r>
      <w:r>
        <w:fldChar w:fldCharType="end"/>
      </w:r>
    </w:p>
    <w:p w14:paraId="700768AF">
      <w:pPr>
        <w:pStyle w:val="12"/>
        <w:tabs>
          <w:tab w:val="right" w:leader="dot" w:pos="9026"/>
          <w:tab w:val="clear" w:pos="9016"/>
        </w:tabs>
      </w:pPr>
      <w:r>
        <w:fldChar w:fldCharType="begin"/>
      </w:r>
      <w:r>
        <w:instrText xml:space="preserve"> HYPERLINK \l _Toc1695 </w:instrText>
      </w:r>
      <w:r>
        <w:fldChar w:fldCharType="separate"/>
      </w:r>
      <w:r>
        <w:rPr>
          <w:rFonts w:hint="eastAsia"/>
        </w:rPr>
        <w:t>7</w:t>
      </w:r>
      <w:r>
        <w:t>.1 为什么</w:t>
      </w:r>
      <w:r>
        <w:rPr>
          <w:rFonts w:hint="eastAsia"/>
        </w:rPr>
        <w:t>需要</w:t>
      </w:r>
      <w:r>
        <w:t>重</w:t>
      </w:r>
      <w:r>
        <w:rPr>
          <w:rFonts w:hint="eastAsia"/>
        </w:rPr>
        <w:t>建</w:t>
      </w:r>
      <w:r>
        <w:t>指标</w:t>
      </w:r>
      <w:r>
        <w:tab/>
      </w:r>
      <w:r>
        <w:fldChar w:fldCharType="begin"/>
      </w:r>
      <w:r>
        <w:instrText xml:space="preserve"> PAGEREF _Toc1695 \h </w:instrText>
      </w:r>
      <w:r>
        <w:fldChar w:fldCharType="separate"/>
      </w:r>
      <w:r>
        <w:t>28</w:t>
      </w:r>
      <w:r>
        <w:fldChar w:fldCharType="end"/>
      </w:r>
      <w:r>
        <w:fldChar w:fldCharType="end"/>
      </w:r>
    </w:p>
    <w:p w14:paraId="60948F22">
      <w:pPr>
        <w:pStyle w:val="12"/>
        <w:tabs>
          <w:tab w:val="right" w:leader="dot" w:pos="9026"/>
          <w:tab w:val="clear" w:pos="9016"/>
        </w:tabs>
      </w:pPr>
      <w:r>
        <w:fldChar w:fldCharType="begin"/>
      </w:r>
      <w:r>
        <w:instrText xml:space="preserve"> HYPERLINK \l _Toc11156 </w:instrText>
      </w:r>
      <w:r>
        <w:fldChar w:fldCharType="separate"/>
      </w:r>
      <w:r>
        <w:rPr>
          <w:rFonts w:hint="eastAsia"/>
        </w:rPr>
        <w:t>7</w:t>
      </w:r>
      <w:r>
        <w:t>.</w:t>
      </w:r>
      <w:r>
        <w:rPr>
          <w:rFonts w:hint="eastAsia"/>
        </w:rPr>
        <w:t>2</w:t>
      </w:r>
      <w:r>
        <w:t xml:space="preserve"> 核心衡量对象：品牌“影响答案”的能力</w:t>
      </w:r>
      <w:r>
        <w:tab/>
      </w:r>
      <w:r>
        <w:fldChar w:fldCharType="begin"/>
      </w:r>
      <w:r>
        <w:instrText xml:space="preserve"> PAGEREF _Toc11156 \h </w:instrText>
      </w:r>
      <w:r>
        <w:fldChar w:fldCharType="separate"/>
      </w:r>
      <w:r>
        <w:t>28</w:t>
      </w:r>
      <w:r>
        <w:fldChar w:fldCharType="end"/>
      </w:r>
      <w:r>
        <w:fldChar w:fldCharType="end"/>
      </w:r>
    </w:p>
    <w:p w14:paraId="5576F9B2">
      <w:pPr>
        <w:pStyle w:val="12"/>
        <w:tabs>
          <w:tab w:val="right" w:leader="dot" w:pos="9026"/>
          <w:tab w:val="clear" w:pos="9016"/>
        </w:tabs>
      </w:pPr>
      <w:r>
        <w:fldChar w:fldCharType="begin"/>
      </w:r>
      <w:r>
        <w:instrText xml:space="preserve"> HYPERLINK \l _Toc16927 </w:instrText>
      </w:r>
      <w:r>
        <w:fldChar w:fldCharType="separate"/>
      </w:r>
      <w:r>
        <w:rPr>
          <w:rFonts w:hint="eastAsia"/>
        </w:rPr>
        <w:t>7</w:t>
      </w:r>
      <w:r>
        <w:t>.</w:t>
      </w:r>
      <w:r>
        <w:rPr>
          <w:rFonts w:hint="eastAsia"/>
        </w:rPr>
        <w:t>3</w:t>
      </w:r>
      <w:r>
        <w:t xml:space="preserve"> 答案份额（SoA）</w:t>
      </w:r>
      <w:r>
        <w:rPr>
          <w:rFonts w:hint="eastAsia"/>
        </w:rPr>
        <w:t>指标</w:t>
      </w:r>
      <w:r>
        <w:t>：在关键问题中“占了多少答案位置”</w:t>
      </w:r>
      <w:r>
        <w:tab/>
      </w:r>
      <w:r>
        <w:fldChar w:fldCharType="begin"/>
      </w:r>
      <w:r>
        <w:instrText xml:space="preserve"> PAGEREF _Toc16927 \h </w:instrText>
      </w:r>
      <w:r>
        <w:fldChar w:fldCharType="separate"/>
      </w:r>
      <w:r>
        <w:t>29</w:t>
      </w:r>
      <w:r>
        <w:fldChar w:fldCharType="end"/>
      </w:r>
      <w:r>
        <w:fldChar w:fldCharType="end"/>
      </w:r>
    </w:p>
    <w:p w14:paraId="6D7C9FB5">
      <w:pPr>
        <w:pStyle w:val="12"/>
        <w:tabs>
          <w:tab w:val="right" w:leader="dot" w:pos="9026"/>
          <w:tab w:val="clear" w:pos="9016"/>
        </w:tabs>
      </w:pPr>
      <w:r>
        <w:fldChar w:fldCharType="begin"/>
      </w:r>
      <w:r>
        <w:instrText xml:space="preserve"> HYPERLINK \l _Toc18413 </w:instrText>
      </w:r>
      <w:r>
        <w:fldChar w:fldCharType="separate"/>
      </w:r>
      <w:r>
        <w:rPr>
          <w:rFonts w:hint="eastAsia"/>
        </w:rPr>
        <w:t>7</w:t>
      </w:r>
      <w:r>
        <w:t>.</w:t>
      </w:r>
      <w:r>
        <w:rPr>
          <w:rFonts w:hint="eastAsia"/>
        </w:rPr>
        <w:t>4</w:t>
      </w:r>
      <w:r>
        <w:t xml:space="preserve"> 引用率</w:t>
      </w:r>
      <w:r>
        <w:rPr>
          <w:rFonts w:hint="eastAsia"/>
        </w:rPr>
        <w:t>指标</w:t>
      </w:r>
      <w:r>
        <w:t>：品牌是否被当作“可信证据”使用</w:t>
      </w:r>
      <w:r>
        <w:tab/>
      </w:r>
      <w:r>
        <w:fldChar w:fldCharType="begin"/>
      </w:r>
      <w:r>
        <w:instrText xml:space="preserve"> PAGEREF _Toc18413 \h </w:instrText>
      </w:r>
      <w:r>
        <w:fldChar w:fldCharType="separate"/>
      </w:r>
      <w:r>
        <w:t>29</w:t>
      </w:r>
      <w:r>
        <w:fldChar w:fldCharType="end"/>
      </w:r>
      <w:r>
        <w:fldChar w:fldCharType="end"/>
      </w:r>
    </w:p>
    <w:p w14:paraId="35D21CDD">
      <w:pPr>
        <w:pStyle w:val="12"/>
        <w:tabs>
          <w:tab w:val="right" w:leader="dot" w:pos="9026"/>
          <w:tab w:val="clear" w:pos="9016"/>
        </w:tabs>
      </w:pPr>
      <w:r>
        <w:fldChar w:fldCharType="begin"/>
      </w:r>
      <w:r>
        <w:instrText xml:space="preserve"> HYPERLINK \l _Toc3363 </w:instrText>
      </w:r>
      <w:r>
        <w:fldChar w:fldCharType="separate"/>
      </w:r>
      <w:r>
        <w:rPr>
          <w:rFonts w:hint="eastAsia"/>
        </w:rPr>
        <w:t>7</w:t>
      </w:r>
      <w:r>
        <w:t>.</w:t>
      </w:r>
      <w:r>
        <w:rPr>
          <w:rFonts w:hint="eastAsia"/>
        </w:rPr>
        <w:t>5</w:t>
      </w:r>
      <w:r>
        <w:t xml:space="preserve"> 认知一致性</w:t>
      </w:r>
      <w:r>
        <w:rPr>
          <w:rFonts w:hint="eastAsia"/>
        </w:rPr>
        <w:t>指标</w:t>
      </w:r>
      <w:r>
        <w:t>：系统对品牌的判断是否稳定可复现</w:t>
      </w:r>
      <w:r>
        <w:tab/>
      </w:r>
      <w:r>
        <w:fldChar w:fldCharType="begin"/>
      </w:r>
      <w:r>
        <w:instrText xml:space="preserve"> PAGEREF _Toc3363 \h </w:instrText>
      </w:r>
      <w:r>
        <w:fldChar w:fldCharType="separate"/>
      </w:r>
      <w:r>
        <w:t>29</w:t>
      </w:r>
      <w:r>
        <w:fldChar w:fldCharType="end"/>
      </w:r>
      <w:r>
        <w:fldChar w:fldCharType="end"/>
      </w:r>
    </w:p>
    <w:p w14:paraId="46FD2062">
      <w:pPr>
        <w:pStyle w:val="12"/>
        <w:tabs>
          <w:tab w:val="right" w:leader="dot" w:pos="9026"/>
          <w:tab w:val="clear" w:pos="9016"/>
        </w:tabs>
      </w:pPr>
      <w:r>
        <w:fldChar w:fldCharType="begin"/>
      </w:r>
      <w:r>
        <w:instrText xml:space="preserve"> HYPERLINK \l _Toc24786 </w:instrText>
      </w:r>
      <w:r>
        <w:fldChar w:fldCharType="separate"/>
      </w:r>
      <w:r>
        <w:rPr>
          <w:rFonts w:hint="eastAsia"/>
        </w:rPr>
        <w:t>7</w:t>
      </w:r>
      <w:r>
        <w:t>.</w:t>
      </w:r>
      <w:r>
        <w:rPr>
          <w:rFonts w:hint="eastAsia"/>
        </w:rPr>
        <w:t>6</w:t>
      </w:r>
      <w:r>
        <w:t xml:space="preserve"> 情感倾向</w:t>
      </w:r>
      <w:r>
        <w:rPr>
          <w:rFonts w:hint="eastAsia"/>
        </w:rPr>
        <w:t>指标</w:t>
      </w:r>
      <w:r>
        <w:t>：生成式环境下负面影响更集中</w:t>
      </w:r>
      <w:r>
        <w:tab/>
      </w:r>
      <w:r>
        <w:fldChar w:fldCharType="begin"/>
      </w:r>
      <w:r>
        <w:instrText xml:space="preserve"> PAGEREF _Toc24786 \h </w:instrText>
      </w:r>
      <w:r>
        <w:fldChar w:fldCharType="separate"/>
      </w:r>
      <w:r>
        <w:t>30</w:t>
      </w:r>
      <w:r>
        <w:fldChar w:fldCharType="end"/>
      </w:r>
      <w:r>
        <w:fldChar w:fldCharType="end"/>
      </w:r>
    </w:p>
    <w:p w14:paraId="2BA89E24">
      <w:pPr>
        <w:pStyle w:val="12"/>
        <w:tabs>
          <w:tab w:val="right" w:leader="dot" w:pos="9026"/>
          <w:tab w:val="clear" w:pos="9016"/>
        </w:tabs>
      </w:pPr>
      <w:r>
        <w:fldChar w:fldCharType="begin"/>
      </w:r>
      <w:r>
        <w:instrText xml:space="preserve"> HYPERLINK \l _Toc17988 </w:instrText>
      </w:r>
      <w:r>
        <w:fldChar w:fldCharType="separate"/>
      </w:r>
      <w:r>
        <w:rPr>
          <w:rFonts w:hint="eastAsia"/>
        </w:rPr>
        <w:t>7</w:t>
      </w:r>
      <w:r>
        <w:t>.</w:t>
      </w:r>
      <w:r>
        <w:rPr>
          <w:rFonts w:hint="eastAsia"/>
        </w:rPr>
        <w:t>7</w:t>
      </w:r>
      <w:r>
        <w:t xml:space="preserve"> AIBE：将指标收敛为“可管理的 AI 品牌资产”</w:t>
      </w:r>
      <w:r>
        <w:tab/>
      </w:r>
      <w:r>
        <w:fldChar w:fldCharType="begin"/>
      </w:r>
      <w:r>
        <w:instrText xml:space="preserve"> PAGEREF _Toc17988 \h </w:instrText>
      </w:r>
      <w:r>
        <w:fldChar w:fldCharType="separate"/>
      </w:r>
      <w:r>
        <w:t>30</w:t>
      </w:r>
      <w:r>
        <w:fldChar w:fldCharType="end"/>
      </w:r>
      <w:r>
        <w:fldChar w:fldCharType="end"/>
      </w:r>
    </w:p>
    <w:p w14:paraId="5ECBCE60">
      <w:pPr>
        <w:pStyle w:val="12"/>
        <w:tabs>
          <w:tab w:val="right" w:leader="dot" w:pos="9026"/>
          <w:tab w:val="clear" w:pos="9016"/>
        </w:tabs>
      </w:pPr>
      <w:r>
        <w:fldChar w:fldCharType="begin"/>
      </w:r>
      <w:r>
        <w:instrText xml:space="preserve"> HYPERLINK \l _Toc21788 </w:instrText>
      </w:r>
      <w:r>
        <w:fldChar w:fldCharType="separate"/>
      </w:r>
      <w:r>
        <w:t>7.</w:t>
      </w:r>
      <w:r>
        <w:rPr>
          <w:rFonts w:hint="eastAsia"/>
        </w:rPr>
        <w:t>8</w:t>
      </w:r>
      <w:r>
        <w:t xml:space="preserve"> AIBV 指数体系：面向</w:t>
      </w:r>
      <w:r>
        <w:rPr>
          <w:rFonts w:hint="eastAsia"/>
          <w:lang w:val="en-US" w:eastAsia="zh-CN"/>
        </w:rPr>
        <w:t>生成式内容</w:t>
      </w:r>
      <w:r>
        <w:t>的统一评估框架</w:t>
      </w:r>
      <w:r>
        <w:tab/>
      </w:r>
      <w:r>
        <w:fldChar w:fldCharType="begin"/>
      </w:r>
      <w:r>
        <w:instrText xml:space="preserve"> PAGEREF _Toc21788 \h </w:instrText>
      </w:r>
      <w:r>
        <w:fldChar w:fldCharType="separate"/>
      </w:r>
      <w:r>
        <w:t>31</w:t>
      </w:r>
      <w:r>
        <w:fldChar w:fldCharType="end"/>
      </w:r>
      <w:r>
        <w:fldChar w:fldCharType="end"/>
      </w:r>
    </w:p>
    <w:p w14:paraId="7B251DBF">
      <w:pPr>
        <w:pStyle w:val="20"/>
        <w:tabs>
          <w:tab w:val="right" w:leader="dot" w:pos="9026"/>
          <w:tab w:val="clear" w:pos="9016"/>
        </w:tabs>
      </w:pPr>
      <w:r>
        <w:fldChar w:fldCharType="begin"/>
      </w:r>
      <w:r>
        <w:instrText xml:space="preserve"> HYPERLINK \l _Toc2295 </w:instrText>
      </w:r>
      <w:r>
        <w:fldChar w:fldCharType="separate"/>
      </w:r>
      <w:r>
        <w:t>第</w:t>
      </w:r>
      <w:r>
        <w:rPr>
          <w:rFonts w:hint="eastAsia"/>
        </w:rPr>
        <w:t>八</w:t>
      </w:r>
      <w:r>
        <w:t>章 未来3</w:t>
      </w:r>
      <w:r>
        <w:rPr>
          <w:rFonts w:hint="eastAsia"/>
        </w:rPr>
        <w:t>年</w:t>
      </w:r>
      <w:r>
        <w:t>趋</w:t>
      </w:r>
      <w:r>
        <w:rPr>
          <w:rFonts w:hint="eastAsia"/>
        </w:rPr>
        <w:t>势和机会</w:t>
      </w:r>
      <w:r>
        <w:tab/>
      </w:r>
      <w:r>
        <w:fldChar w:fldCharType="begin"/>
      </w:r>
      <w:r>
        <w:instrText xml:space="preserve"> PAGEREF _Toc2295 \h </w:instrText>
      </w:r>
      <w:r>
        <w:fldChar w:fldCharType="separate"/>
      </w:r>
      <w:r>
        <w:t>32</w:t>
      </w:r>
      <w:r>
        <w:fldChar w:fldCharType="end"/>
      </w:r>
      <w:r>
        <w:fldChar w:fldCharType="end"/>
      </w:r>
    </w:p>
    <w:p w14:paraId="241F4A45">
      <w:pPr>
        <w:pStyle w:val="12"/>
        <w:tabs>
          <w:tab w:val="right" w:leader="dot" w:pos="9026"/>
          <w:tab w:val="clear" w:pos="9016"/>
        </w:tabs>
      </w:pPr>
      <w:r>
        <w:fldChar w:fldCharType="begin"/>
      </w:r>
      <w:r>
        <w:instrText xml:space="preserve"> HYPERLINK \l _Toc12907 </w:instrText>
      </w:r>
      <w:r>
        <w:fldChar w:fldCharType="separate"/>
      </w:r>
      <w:r>
        <w:rPr>
          <w:rFonts w:hint="eastAsia"/>
        </w:rPr>
        <w:t>8</w:t>
      </w:r>
      <w:r>
        <w:t>.1 决策链路的前移：AI 正在承担“初筛与归纳”的角色</w:t>
      </w:r>
      <w:r>
        <w:tab/>
      </w:r>
      <w:r>
        <w:fldChar w:fldCharType="begin"/>
      </w:r>
      <w:r>
        <w:instrText xml:space="preserve"> PAGEREF _Toc12907 \h </w:instrText>
      </w:r>
      <w:r>
        <w:fldChar w:fldCharType="separate"/>
      </w:r>
      <w:r>
        <w:t>32</w:t>
      </w:r>
      <w:r>
        <w:fldChar w:fldCharType="end"/>
      </w:r>
      <w:r>
        <w:fldChar w:fldCharType="end"/>
      </w:r>
    </w:p>
    <w:p w14:paraId="6C696C62">
      <w:pPr>
        <w:pStyle w:val="12"/>
        <w:tabs>
          <w:tab w:val="right" w:leader="dot" w:pos="9026"/>
          <w:tab w:val="clear" w:pos="9016"/>
        </w:tabs>
      </w:pPr>
      <w:r>
        <w:fldChar w:fldCharType="begin"/>
      </w:r>
      <w:r>
        <w:instrText xml:space="preserve"> HYPERLINK \l _Toc29810 </w:instrText>
      </w:r>
      <w:r>
        <w:fldChar w:fldCharType="separate"/>
      </w:r>
      <w:r>
        <w:rPr>
          <w:rFonts w:hint="eastAsia"/>
        </w:rPr>
        <w:t>8</w:t>
      </w:r>
      <w:r>
        <w:t>.2 “无声出局”的风险：不被否定，而是不被纳入候选</w:t>
      </w:r>
      <w:r>
        <w:tab/>
      </w:r>
      <w:r>
        <w:fldChar w:fldCharType="begin"/>
      </w:r>
      <w:r>
        <w:instrText xml:space="preserve"> PAGEREF _Toc29810 \h </w:instrText>
      </w:r>
      <w:r>
        <w:fldChar w:fldCharType="separate"/>
      </w:r>
      <w:r>
        <w:t>32</w:t>
      </w:r>
      <w:r>
        <w:fldChar w:fldCharType="end"/>
      </w:r>
      <w:r>
        <w:fldChar w:fldCharType="end"/>
      </w:r>
    </w:p>
    <w:p w14:paraId="4F31C19D">
      <w:pPr>
        <w:pStyle w:val="12"/>
        <w:tabs>
          <w:tab w:val="right" w:leader="dot" w:pos="9026"/>
          <w:tab w:val="clear" w:pos="9016"/>
        </w:tabs>
      </w:pPr>
      <w:r>
        <w:fldChar w:fldCharType="begin"/>
      </w:r>
      <w:r>
        <w:instrText xml:space="preserve"> HYPERLINK \l _Toc2792 </w:instrText>
      </w:r>
      <w:r>
        <w:fldChar w:fldCharType="separate"/>
      </w:r>
      <w:r>
        <w:rPr>
          <w:rFonts w:hint="eastAsia"/>
        </w:rPr>
        <w:t>8</w:t>
      </w:r>
      <w:r>
        <w:t xml:space="preserve">.3 </w:t>
      </w:r>
      <w:r>
        <w:rPr>
          <w:rFonts w:hint="eastAsia"/>
        </w:rPr>
        <w:t>品牌智能体</w:t>
      </w:r>
      <w:r>
        <w:t>的趋势：品牌知识将逐步“接口化”</w:t>
      </w:r>
      <w:r>
        <w:tab/>
      </w:r>
      <w:r>
        <w:fldChar w:fldCharType="begin"/>
      </w:r>
      <w:r>
        <w:instrText xml:space="preserve"> PAGEREF _Toc2792 \h </w:instrText>
      </w:r>
      <w:r>
        <w:fldChar w:fldCharType="separate"/>
      </w:r>
      <w:r>
        <w:t>33</w:t>
      </w:r>
      <w:r>
        <w:fldChar w:fldCharType="end"/>
      </w:r>
      <w:r>
        <w:fldChar w:fldCharType="end"/>
      </w:r>
    </w:p>
    <w:p w14:paraId="24E51164">
      <w:pPr>
        <w:pStyle w:val="12"/>
        <w:tabs>
          <w:tab w:val="right" w:leader="dot" w:pos="9026"/>
          <w:tab w:val="clear" w:pos="9016"/>
        </w:tabs>
      </w:pPr>
      <w:r>
        <w:fldChar w:fldCharType="begin"/>
      </w:r>
      <w:r>
        <w:instrText xml:space="preserve"> HYPERLINK \l _Toc10968 </w:instrText>
      </w:r>
      <w:r>
        <w:fldChar w:fldCharType="separate"/>
      </w:r>
      <w:r>
        <w:rPr>
          <w:rFonts w:hint="eastAsia"/>
        </w:rPr>
        <w:t>8</w:t>
      </w:r>
      <w:r>
        <w:t>.4 品牌分层的新标准：</w:t>
      </w:r>
      <w:r>
        <w:rPr>
          <w:rFonts w:hint="eastAsia"/>
        </w:rPr>
        <w:t>透明</w:t>
      </w:r>
      <w:r>
        <w:t>性、可信度与一致性将决定长期位置</w:t>
      </w:r>
      <w:r>
        <w:tab/>
      </w:r>
      <w:r>
        <w:fldChar w:fldCharType="begin"/>
      </w:r>
      <w:r>
        <w:instrText xml:space="preserve"> PAGEREF _Toc10968 \h </w:instrText>
      </w:r>
      <w:r>
        <w:fldChar w:fldCharType="separate"/>
      </w:r>
      <w:r>
        <w:t>33</w:t>
      </w:r>
      <w:r>
        <w:fldChar w:fldCharType="end"/>
      </w:r>
      <w:r>
        <w:fldChar w:fldCharType="end"/>
      </w:r>
    </w:p>
    <w:p w14:paraId="0431AE4C">
      <w:pPr>
        <w:pStyle w:val="12"/>
        <w:tabs>
          <w:tab w:val="right" w:leader="dot" w:pos="9026"/>
          <w:tab w:val="clear" w:pos="9016"/>
        </w:tabs>
      </w:pPr>
      <w:r>
        <w:fldChar w:fldCharType="begin"/>
      </w:r>
      <w:r>
        <w:instrText xml:space="preserve"> HYPERLINK \l _Toc30271 </w:instrText>
      </w:r>
      <w:r>
        <w:fldChar w:fldCharType="separate"/>
      </w:r>
      <w:r>
        <w:rPr>
          <w:rFonts w:hint="eastAsia"/>
        </w:rPr>
        <w:t>8</w:t>
      </w:r>
      <w:r>
        <w:t xml:space="preserve">.5 </w:t>
      </w:r>
      <w:r>
        <w:rPr>
          <w:rFonts w:hint="eastAsia" w:ascii="等线" w:hAnsi="等线" w:eastAsia="等线" w:cs="等线"/>
          <w:szCs w:val="28"/>
        </w:rPr>
        <w:t>AI 品牌资产建设</w:t>
      </w:r>
      <w:r>
        <w:t>将进一步基础设施化</w:t>
      </w:r>
      <w:r>
        <w:tab/>
      </w:r>
      <w:r>
        <w:fldChar w:fldCharType="begin"/>
      </w:r>
      <w:r>
        <w:instrText xml:space="preserve"> PAGEREF _Toc30271 \h </w:instrText>
      </w:r>
      <w:r>
        <w:fldChar w:fldCharType="separate"/>
      </w:r>
      <w:r>
        <w:t>34</w:t>
      </w:r>
      <w:r>
        <w:fldChar w:fldCharType="end"/>
      </w:r>
      <w:r>
        <w:fldChar w:fldCharType="end"/>
      </w:r>
    </w:p>
    <w:p w14:paraId="1429888F">
      <w:pPr>
        <w:pStyle w:val="12"/>
        <w:tabs>
          <w:tab w:val="right" w:leader="dot" w:pos="9026"/>
          <w:tab w:val="clear" w:pos="9016"/>
        </w:tabs>
      </w:pPr>
      <w:r>
        <w:fldChar w:fldCharType="begin"/>
      </w:r>
      <w:r>
        <w:instrText xml:space="preserve"> HYPERLINK \l _Toc21208 </w:instrText>
      </w:r>
      <w:r>
        <w:fldChar w:fldCharType="separate"/>
      </w:r>
      <w:r>
        <w:rPr>
          <w:rFonts w:hint="eastAsia"/>
        </w:rPr>
        <w:t>8</w:t>
      </w:r>
      <w:r>
        <w:t>.6 忽</w:t>
      </w:r>
      <w:r>
        <w:rPr>
          <w:rFonts w:hint="eastAsia"/>
        </w:rPr>
        <w:t>视</w:t>
      </w:r>
      <w:r>
        <w:rPr>
          <w:rFonts w:hint="eastAsia"/>
          <w:lang w:val="en-US" w:eastAsia="zh-CN"/>
        </w:rPr>
        <w:t>AIPE</w:t>
      </w:r>
      <w:r>
        <w:t>的代价：逐步退出“被考虑集合”</w:t>
      </w:r>
      <w:r>
        <w:tab/>
      </w:r>
      <w:r>
        <w:fldChar w:fldCharType="begin"/>
      </w:r>
      <w:r>
        <w:instrText xml:space="preserve"> PAGEREF _Toc21208 \h </w:instrText>
      </w:r>
      <w:r>
        <w:fldChar w:fldCharType="separate"/>
      </w:r>
      <w:r>
        <w:t>34</w:t>
      </w:r>
      <w:r>
        <w:fldChar w:fldCharType="end"/>
      </w:r>
      <w:r>
        <w:fldChar w:fldCharType="end"/>
      </w:r>
    </w:p>
    <w:p w14:paraId="67D3395D">
      <w:pPr>
        <w:pStyle w:val="12"/>
        <w:tabs>
          <w:tab w:val="right" w:leader="dot" w:pos="9026"/>
          <w:tab w:val="clear" w:pos="9016"/>
        </w:tabs>
      </w:pPr>
      <w:r>
        <w:fldChar w:fldCharType="begin"/>
      </w:r>
      <w:r>
        <w:instrText xml:space="preserve"> HYPERLINK \l _Toc32590 </w:instrText>
      </w:r>
      <w:r>
        <w:fldChar w:fldCharType="separate"/>
      </w:r>
      <w:r>
        <w:rPr>
          <w:rFonts w:hint="eastAsia"/>
        </w:rPr>
        <w:t xml:space="preserve">8.7 </w:t>
      </w:r>
      <w:r>
        <w:rPr>
          <w:rFonts w:hint="eastAsia"/>
          <w:lang w:val="en-US" w:eastAsia="zh-CN"/>
        </w:rPr>
        <w:t>AIPE</w:t>
      </w:r>
      <w:r>
        <w:t>将进入合规治理时代：从“流量博弈”到“公信力经营”</w:t>
      </w:r>
      <w:r>
        <w:tab/>
      </w:r>
      <w:r>
        <w:fldChar w:fldCharType="begin"/>
      </w:r>
      <w:r>
        <w:instrText xml:space="preserve"> PAGEREF _Toc32590 \h </w:instrText>
      </w:r>
      <w:r>
        <w:fldChar w:fldCharType="separate"/>
      </w:r>
      <w:r>
        <w:t>34</w:t>
      </w:r>
      <w:r>
        <w:fldChar w:fldCharType="end"/>
      </w:r>
      <w:r>
        <w:fldChar w:fldCharType="end"/>
      </w:r>
    </w:p>
    <w:p w14:paraId="406B9CA9">
      <w:pPr>
        <w:pStyle w:val="20"/>
        <w:tabs>
          <w:tab w:val="right" w:leader="dot" w:pos="9026"/>
          <w:tab w:val="clear" w:pos="9016"/>
        </w:tabs>
      </w:pPr>
      <w:r>
        <w:fldChar w:fldCharType="begin"/>
      </w:r>
      <w:r>
        <w:instrText xml:space="preserve"> HYPERLINK \l _Toc30491 </w:instrText>
      </w:r>
      <w:r>
        <w:fldChar w:fldCharType="separate"/>
      </w:r>
      <w:r>
        <w:rPr>
          <w:rFonts w:hint="eastAsia" w:ascii="等线" w:hAnsi="等线" w:eastAsia="等线" w:cs="等线"/>
          <w:bCs/>
          <w:szCs w:val="28"/>
        </w:rPr>
        <w:t>8.</w:t>
      </w:r>
      <w:r>
        <w:rPr>
          <w:rFonts w:hint="eastAsia" w:ascii="等线" w:hAnsi="等线" w:eastAsia="等线" w:cs="等线"/>
          <w:bCs/>
          <w:szCs w:val="28"/>
          <w:lang w:val="en-US" w:eastAsia="zh-CN"/>
        </w:rPr>
        <w:t>8</w:t>
      </w:r>
      <w:r>
        <w:rPr>
          <w:rFonts w:hint="eastAsia" w:ascii="等线" w:hAnsi="等线" w:eastAsia="等线" w:cs="等线"/>
          <w:bCs/>
          <w:szCs w:val="28"/>
        </w:rPr>
        <w:t>行业倡议：从“流量博弈”走向“认知治理”和“品牌治理”</w:t>
      </w:r>
      <w:r>
        <w:tab/>
      </w:r>
      <w:r>
        <w:fldChar w:fldCharType="begin"/>
      </w:r>
      <w:r>
        <w:instrText xml:space="preserve"> PAGEREF _Toc30491 \h </w:instrText>
      </w:r>
      <w:r>
        <w:fldChar w:fldCharType="separate"/>
      </w:r>
      <w:r>
        <w:t>35</w:t>
      </w:r>
      <w:r>
        <w:fldChar w:fldCharType="end"/>
      </w:r>
      <w:r>
        <w:fldChar w:fldCharType="end"/>
      </w:r>
    </w:p>
    <w:p w14:paraId="189CEA38">
      <w:pPr>
        <w:pStyle w:val="16"/>
        <w:tabs>
          <w:tab w:val="right" w:leader="dot" w:pos="9026"/>
        </w:tabs>
      </w:pPr>
      <w:r>
        <w:fldChar w:fldCharType="begin"/>
      </w:r>
      <w:r>
        <w:instrText xml:space="preserve"> HYPERLINK \l _Toc3158 </w:instrText>
      </w:r>
      <w:r>
        <w:fldChar w:fldCharType="separate"/>
      </w:r>
      <w:r>
        <w:rPr>
          <w:rFonts w:ascii="Arial" w:hAnsi="Arial" w:eastAsia="等线" w:cs="Arial"/>
        </w:rPr>
        <w:t>附</w:t>
      </w:r>
      <w:r>
        <w:rPr>
          <w:rFonts w:hint="eastAsia" w:ascii="Arial" w:hAnsi="Arial" w:eastAsia="等线" w:cs="Arial"/>
        </w:rPr>
        <w:t>录</w:t>
      </w:r>
      <w:r>
        <w:tab/>
      </w:r>
      <w:r>
        <w:fldChar w:fldCharType="begin"/>
      </w:r>
      <w:r>
        <w:instrText xml:space="preserve"> PAGEREF _Toc3158 \h </w:instrText>
      </w:r>
      <w:r>
        <w:fldChar w:fldCharType="separate"/>
      </w:r>
      <w:r>
        <w:t>37</w:t>
      </w:r>
      <w:r>
        <w:fldChar w:fldCharType="end"/>
      </w:r>
      <w:r>
        <w:fldChar w:fldCharType="end"/>
      </w:r>
    </w:p>
    <w:p w14:paraId="76A3C771">
      <w:pPr>
        <w:pStyle w:val="20"/>
        <w:tabs>
          <w:tab w:val="right" w:leader="dot" w:pos="9026"/>
          <w:tab w:val="clear" w:pos="9016"/>
        </w:tabs>
      </w:pPr>
      <w:r>
        <w:fldChar w:fldCharType="begin"/>
      </w:r>
      <w:r>
        <w:instrText xml:space="preserve"> HYPERLINK \l _Toc14896 </w:instrText>
      </w:r>
      <w:r>
        <w:fldChar w:fldCharType="separate"/>
      </w:r>
      <w:r>
        <w:rPr>
          <w:rFonts w:ascii="Arial" w:hAnsi="Arial" w:eastAsia="等线" w:cs="Arial"/>
        </w:rPr>
        <w:t>A. AI 品牌资产表现指数体系（AIBV 1.0）</w:t>
      </w:r>
      <w:r>
        <w:tab/>
      </w:r>
      <w:r>
        <w:fldChar w:fldCharType="begin"/>
      </w:r>
      <w:r>
        <w:instrText xml:space="preserve"> PAGEREF _Toc14896 \h </w:instrText>
      </w:r>
      <w:r>
        <w:fldChar w:fldCharType="separate"/>
      </w:r>
      <w:r>
        <w:t>37</w:t>
      </w:r>
      <w:r>
        <w:fldChar w:fldCharType="end"/>
      </w:r>
      <w:r>
        <w:fldChar w:fldCharType="end"/>
      </w:r>
    </w:p>
    <w:p w14:paraId="036FD191">
      <w:pPr>
        <w:pStyle w:val="20"/>
        <w:tabs>
          <w:tab w:val="right" w:leader="dot" w:pos="9026"/>
          <w:tab w:val="clear" w:pos="9016"/>
        </w:tabs>
      </w:pPr>
      <w:r>
        <w:fldChar w:fldCharType="begin"/>
      </w:r>
      <w:r>
        <w:instrText xml:space="preserve"> HYPERLINK \l _Toc32181 </w:instrText>
      </w:r>
      <w:r>
        <w:fldChar w:fldCharType="separate"/>
      </w:r>
      <w:r>
        <w:rPr>
          <w:rFonts w:ascii="Arial" w:hAnsi="Arial" w:eastAsia="等线" w:cs="Arial"/>
        </w:rPr>
        <w:t>B</w:t>
      </w:r>
      <w:r>
        <w:rPr>
          <w:rFonts w:hint="eastAsia" w:ascii="Arial" w:hAnsi="Arial" w:eastAsia="等线" w:cs="Arial"/>
        </w:rPr>
        <w:t xml:space="preserve">. </w:t>
      </w:r>
      <w:r>
        <w:rPr>
          <w:rFonts w:ascii="Arial" w:hAnsi="Arial" w:eastAsia="等线" w:cs="Arial"/>
        </w:rPr>
        <w:t>术语表（精简版）</w:t>
      </w:r>
      <w:r>
        <w:tab/>
      </w:r>
      <w:r>
        <w:fldChar w:fldCharType="begin"/>
      </w:r>
      <w:r>
        <w:instrText xml:space="preserve"> PAGEREF _Toc32181 \h </w:instrText>
      </w:r>
      <w:r>
        <w:fldChar w:fldCharType="separate"/>
      </w:r>
      <w:r>
        <w:t>37</w:t>
      </w:r>
      <w:r>
        <w:fldChar w:fldCharType="end"/>
      </w:r>
      <w:r>
        <w:fldChar w:fldCharType="end"/>
      </w:r>
    </w:p>
    <w:p w14:paraId="6A59C14A">
      <w:pPr>
        <w:pStyle w:val="20"/>
        <w:tabs>
          <w:tab w:val="right" w:leader="dot" w:pos="9026"/>
          <w:tab w:val="clear" w:pos="9016"/>
        </w:tabs>
      </w:pPr>
      <w:r>
        <w:fldChar w:fldCharType="begin"/>
      </w:r>
      <w:r>
        <w:instrText xml:space="preserve"> HYPERLINK \l _Toc19164 </w:instrText>
      </w:r>
      <w:r>
        <w:fldChar w:fldCharType="separate"/>
      </w:r>
      <w:r>
        <w:rPr>
          <w:rFonts w:ascii="Arial" w:hAnsi="Arial" w:eastAsia="等线" w:cs="Arial"/>
        </w:rPr>
        <w:t>C. 指标定义</w:t>
      </w:r>
      <w:r>
        <w:tab/>
      </w:r>
      <w:r>
        <w:fldChar w:fldCharType="begin"/>
      </w:r>
      <w:r>
        <w:instrText xml:space="preserve"> PAGEREF _Toc19164 \h </w:instrText>
      </w:r>
      <w:r>
        <w:fldChar w:fldCharType="separate"/>
      </w:r>
      <w:r>
        <w:t>37</w:t>
      </w:r>
      <w:r>
        <w:fldChar w:fldCharType="end"/>
      </w:r>
      <w:r>
        <w:fldChar w:fldCharType="end"/>
      </w:r>
    </w:p>
    <w:p w14:paraId="786B68AC">
      <w:pPr>
        <w:pStyle w:val="20"/>
        <w:tabs>
          <w:tab w:val="right" w:leader="dot" w:pos="9026"/>
          <w:tab w:val="clear" w:pos="9016"/>
        </w:tabs>
      </w:pPr>
      <w:r>
        <w:fldChar w:fldCharType="begin"/>
      </w:r>
      <w:r>
        <w:instrText xml:space="preserve"> HYPERLINK \l _Toc24435 </w:instrText>
      </w:r>
      <w:r>
        <w:fldChar w:fldCharType="separate"/>
      </w:r>
      <w:r>
        <w:rPr>
          <w:rFonts w:hint="eastAsia" w:ascii="Arial" w:hAnsi="Arial" w:eastAsia="等线" w:cs="Arial"/>
        </w:rPr>
        <w:t>附件  AI品牌资产发展指数体系（AIBV 1.0）</w:t>
      </w:r>
      <w:r>
        <w:tab/>
      </w:r>
      <w:r>
        <w:fldChar w:fldCharType="begin"/>
      </w:r>
      <w:r>
        <w:instrText xml:space="preserve"> PAGEREF _Toc24435 \h </w:instrText>
      </w:r>
      <w:r>
        <w:fldChar w:fldCharType="separate"/>
      </w:r>
      <w:r>
        <w:t>38</w:t>
      </w:r>
      <w:r>
        <w:fldChar w:fldCharType="end"/>
      </w:r>
      <w:r>
        <w:fldChar w:fldCharType="end"/>
      </w:r>
    </w:p>
    <w:p w14:paraId="38E83B5C">
      <w:pPr>
        <w:pStyle w:val="22"/>
        <w:keepNext w:val="0"/>
        <w:keepLines w:val="0"/>
        <w:widowControl/>
        <w:suppressLineNumbers w:val="0"/>
      </w:pPr>
      <w:r>
        <w:fldChar w:fldCharType="end"/>
      </w:r>
    </w:p>
    <w:p w14:paraId="506BE4CC">
      <w:pPr>
        <w:pStyle w:val="22"/>
        <w:keepNext w:val="0"/>
        <w:keepLines w:val="0"/>
        <w:widowControl/>
        <w:suppressLineNumbers w:val="0"/>
      </w:pPr>
    </w:p>
    <w:p w14:paraId="76172F52">
      <w:pPr>
        <w:pStyle w:val="22"/>
        <w:keepNext w:val="0"/>
        <w:keepLines w:val="0"/>
        <w:widowControl/>
        <w:suppressLineNumbers w:val="0"/>
      </w:pPr>
    </w:p>
    <w:p w14:paraId="15A7C247">
      <w:pPr>
        <w:pStyle w:val="22"/>
        <w:keepNext w:val="0"/>
        <w:keepLines w:val="0"/>
        <w:widowControl/>
        <w:suppressLineNumbers w:val="0"/>
      </w:pPr>
    </w:p>
    <w:p w14:paraId="58EA9119">
      <w:pPr>
        <w:pStyle w:val="22"/>
        <w:keepNext w:val="0"/>
        <w:keepLines w:val="0"/>
        <w:widowControl/>
        <w:suppressLineNumbers w:val="0"/>
      </w:pPr>
    </w:p>
    <w:p w14:paraId="7FB1A1CA">
      <w:pPr>
        <w:pStyle w:val="22"/>
        <w:keepNext w:val="0"/>
        <w:keepLines w:val="0"/>
        <w:widowControl/>
        <w:suppressLineNumbers w:val="0"/>
      </w:pPr>
    </w:p>
    <w:p w14:paraId="1BF80323">
      <w:pPr>
        <w:pStyle w:val="22"/>
        <w:keepNext w:val="0"/>
        <w:keepLines w:val="0"/>
        <w:widowControl/>
        <w:suppressLineNumbers w:val="0"/>
      </w:pPr>
    </w:p>
    <w:p w14:paraId="593AED76">
      <w:pPr>
        <w:pStyle w:val="22"/>
        <w:keepNext w:val="0"/>
        <w:keepLines w:val="0"/>
        <w:widowControl/>
        <w:suppressLineNumbers w:val="0"/>
      </w:pPr>
    </w:p>
    <w:p w14:paraId="0F97D7D2">
      <w:pPr>
        <w:pStyle w:val="22"/>
        <w:keepNext w:val="0"/>
        <w:keepLines w:val="0"/>
        <w:widowControl/>
        <w:suppressLineNumbers w:val="0"/>
      </w:pPr>
    </w:p>
    <w:p w14:paraId="5B1C550E">
      <w:pPr>
        <w:pStyle w:val="22"/>
        <w:keepNext w:val="0"/>
        <w:keepLines w:val="0"/>
        <w:widowControl/>
        <w:suppressLineNumbers w:val="0"/>
      </w:pPr>
    </w:p>
    <w:p w14:paraId="69AB09EF">
      <w:pPr>
        <w:pStyle w:val="22"/>
        <w:keepNext w:val="0"/>
        <w:keepLines w:val="0"/>
        <w:widowControl/>
        <w:suppressLineNumbers w:val="0"/>
      </w:pPr>
    </w:p>
    <w:p w14:paraId="7E96F995">
      <w:pPr>
        <w:pStyle w:val="22"/>
        <w:keepNext w:val="0"/>
        <w:keepLines w:val="0"/>
        <w:widowControl/>
        <w:suppressLineNumbers w:val="0"/>
        <w:rPr>
          <w:b/>
          <w:bCs/>
          <w:sz w:val="44"/>
          <w:szCs w:val="44"/>
        </w:rPr>
      </w:pPr>
      <w:r>
        <w:rPr>
          <w:b/>
          <w:bCs/>
          <w:sz w:val="32"/>
          <w:szCs w:val="28"/>
        </w:rPr>
        <w:t>前 言</w:t>
      </w:r>
    </w:p>
    <w:p w14:paraId="1CF38BA3">
      <w:pPr>
        <w:pStyle w:val="22"/>
        <w:keepNext w:val="0"/>
        <w:keepLines w:val="0"/>
        <w:widowControl/>
        <w:suppressLineNumbers w:val="0"/>
      </w:pPr>
      <w:r>
        <w:t xml:space="preserve">过去二十年，数字营销主要建立在搜索曝光、内容分发与点击跳转的流量转化模式之上。随着生成式人工智能的快速普及，信息获取与决策形成的关键环节正在发生深刻变化：越来越多用户不再先浏览大量链接、再自行归纳判断，而是直接通过 AI 问答、AI 搜索、AI 推荐、AI 助理和智能代理等语义交互场景获取结论、形成初筛并推进下一步行动。对用户而言，这意味着更低的信息成本与更高的决策效率；对品牌而言，则意味着竞争前线正在从“被看见”前移至“被理解、被引用与被纳入考虑”的阶段。 </w:t>
      </w:r>
    </w:p>
    <w:p w14:paraId="4A7B6FB7">
      <w:pPr>
        <w:pStyle w:val="22"/>
        <w:keepNext w:val="0"/>
        <w:keepLines w:val="0"/>
        <w:widowControl/>
        <w:suppressLineNumbers w:val="0"/>
      </w:pPr>
      <w:r>
        <w:t xml:space="preserve">在这一变化下，品牌面临的核心挑战已不再只是传统意义上的搜索排名或媒体曝光，而是品牌是否能够被主流 AI 系统准确理解、合理归类、稳定表达，并在复杂问题与多轮交互中形成真实、可信、可验证的存在状态。换言之，品牌资产正在进入一个新的维度：除了存在于消费者心智之中，品牌还必须在 AI 系统的语义空间中形成清晰、可靠、可复核的知识画像。 </w:t>
      </w:r>
    </w:p>
    <w:p w14:paraId="069B46C8">
      <w:pPr>
        <w:pStyle w:val="22"/>
        <w:keepNext w:val="0"/>
        <w:keepLines w:val="0"/>
        <w:widowControl/>
        <w:suppressLineNumbers w:val="0"/>
      </w:pPr>
      <w:r>
        <w:t>需要特别指出的是，AI 品牌资产建设的本质绝不是对人工智能系统进行算法欺骗，也不是在 AI 面前堆砌虚假资料、伪造证据链或利用规则漏洞进行短期套利。近期围绕黑帽 GEO、AI 投毒、虚假投喂、伪造信源与误导性内容传播的讨论，已经表明这一领域必须尽快从概念热潮走向原则厘定与规范建设。对于行业而言，真正值得鼓励的，不是对结果的操纵，而是对供给侧信息质量的系统性提升：提升品牌信息的结构化程度、真实性、准确性、透明度与可验证性，使 AI 在回答高价值问题时能够基于更可信的知识网络形成更稳健的表达。</w:t>
      </w:r>
    </w:p>
    <w:p w14:paraId="4B8F811E">
      <w:pPr>
        <w:pStyle w:val="22"/>
        <w:keepNext w:val="0"/>
        <w:keepLines w:val="0"/>
        <w:widowControl/>
        <w:suppressLineNumbers w:val="0"/>
      </w:pPr>
      <w:r>
        <w:t xml:space="preserve">也正是在这一背景下，本白皮书提出“AI 品牌资产”这一研究框架，并引入可信知识网络（KNIT）、品牌事实库、答案资产、引用资产以及 AI 品牌资产发展指数体系（AIBV）等核心概念。我们希望强调，企业推进 AI 品牌资产建设，不应被理解为一种狭义的营销技巧升级，而应被理解为一套面向 AI 时代的品牌信息治理工程：通过持续建设高质量、可复用、可引用、可校验的品牌知识体系，使品牌的专业能力、产品优势、适用边界与风险说明，能够以机器可读且可信的方式沉淀下来，并在不同模型、不同场景与不同时间窗口下保持更高的一致性与可解释性。 </w:t>
      </w:r>
    </w:p>
    <w:p w14:paraId="7961C320">
      <w:pPr>
        <w:pStyle w:val="22"/>
        <w:keepNext w:val="0"/>
        <w:keepLines w:val="0"/>
        <w:widowControl/>
        <w:suppressLineNumbers w:val="0"/>
        <w:rPr>
          <w:rFonts w:hint="eastAsia"/>
        </w:rPr>
      </w:pPr>
      <w:r>
        <w:t>因此，本白皮书的重点不在于放大行业热度，也不在于鼓励“争夺入口”“争夺偏好”式的表达，而在于提出一套更具建设性的行业语言：一方面，解释生成式引擎如何理解品牌、为何会产生误读、错引与风险化表达；另一方面，提出围绕可信知识网络、品牌事实库、答案资产、引用资产与结构化知识表达的系统方法，帮助品牌构建更真实、更准确、更透明、更 AI 友好的品牌资产体系；同时，通过 AIBV 评估框架，使企业不仅能够衡量品牌在 AI 场景中的表现，也能够识别误读、错引、口径分裂、风险化表达与可信度不足等治理问题。</w:t>
      </w:r>
    </w:p>
    <w:p w14:paraId="26579607">
      <w:pPr>
        <w:pStyle w:val="35"/>
        <w:pBdr>
          <w:bottom w:val="none" w:color="auto" w:sz="0" w:space="0"/>
        </w:pBdr>
        <w:spacing w:line="276" w:lineRule="auto"/>
      </w:pPr>
      <w:r>
        <w:rPr>
          <w:rFonts w:hint="eastAsia"/>
        </w:rPr>
        <w:t>为帮助企业建立清晰的品牌战略方向，本白皮书系统梳理人工智能时代的品牌认知管理路径。沙利文联合头豹研究院提出可信知识网络（KNIT）概念，通过结构化工程将企业分散信息转化为可被人工智能稳定理解与引用的知识资产，从而降低认知稀释与算法误读风险，并推动品牌管理指标从点击率向答案份额、引用率及认知一致性等核心指标转变。</w:t>
      </w:r>
    </w:p>
    <w:p w14:paraId="09236429">
      <w:pPr>
        <w:pStyle w:val="35"/>
        <w:pBdr>
          <w:bottom w:val="none" w:color="auto" w:sz="0" w:space="0"/>
        </w:pBdr>
        <w:spacing w:line="276" w:lineRule="auto"/>
      </w:pPr>
      <w:r>
        <w:rPr>
          <w:rFonts w:hint="eastAsia"/>
        </w:rPr>
        <w:t>头豹研究院《2025年AI新时代品牌价值管理白皮书》指出，生成式人工智能正推动信息获取模式由“链接索引”向“直接答案生成”转变。当前，超过八成用户已经形成日常使用AI搜索获取信息的习惯，标志着品牌传播的核心入口与竞争焦点正逐步向人工智能推荐机制迁移。</w:t>
      </w:r>
    </w:p>
    <w:p w14:paraId="2DC635AA">
      <w:pPr>
        <w:pStyle w:val="35"/>
        <w:pBdr>
          <w:bottom w:val="none" w:color="auto" w:sz="0" w:space="0"/>
        </w:pBdr>
        <w:spacing w:line="276" w:lineRule="auto"/>
        <w:rPr>
          <w:rFonts w:hint="eastAsia"/>
        </w:rPr>
      </w:pPr>
      <w:r>
        <w:rPr>
          <w:rFonts w:hint="eastAsia"/>
        </w:rPr>
        <w:t>根据头豹研究院研究，</w:t>
      </w:r>
      <w:r>
        <w:rPr>
          <w:rFonts w:hint="eastAsia"/>
          <w:lang w:eastAsia="zh-CN"/>
        </w:rPr>
        <w:t>生成式内容优化</w:t>
      </w:r>
      <w:r>
        <w:rPr>
          <w:rFonts w:hint="eastAsia"/>
        </w:rPr>
        <w:t xml:space="preserve">市场正处于快速增长阶段。随着生成式 AI 与 AI 搜索应用的普及，2025 年中国 </w:t>
      </w:r>
      <w:r>
        <w:rPr>
          <w:rFonts w:hint="eastAsia"/>
          <w:lang w:eastAsia="zh-CN"/>
        </w:rPr>
        <w:t>生成式内容优化</w:t>
      </w:r>
      <w:r>
        <w:rPr>
          <w:rFonts w:hint="eastAsia"/>
        </w:rPr>
        <w:t>市场规模已增长至约 57 亿元，并预计在 2026 年达到约 137 亿元。从全球范围来看，</w:t>
      </w:r>
      <w:r>
        <w:rPr>
          <w:rFonts w:hint="eastAsia"/>
          <w:lang w:eastAsia="zh-CN"/>
        </w:rPr>
        <w:t>生成式内容优化</w:t>
      </w:r>
      <w:r>
        <w:rPr>
          <w:rFonts w:hint="eastAsia"/>
        </w:rPr>
        <w:t>市场规模预计将在 2030 年达到 5,122 亿元，五年复合年均增长率达 65.3%。这一增长趋势表明，</w:t>
      </w:r>
      <w:r>
        <w:rPr>
          <w:rFonts w:hint="eastAsia"/>
          <w:lang w:eastAsia="zh-CN"/>
        </w:rPr>
        <w:t>生成式内容优化</w:t>
      </w:r>
      <w:r>
        <w:rPr>
          <w:rFonts w:hint="eastAsia"/>
        </w:rPr>
        <w:t>正逐步成为企业重构数字营销体系与品牌资源配置的重要战略领域。在 AI 搜索重塑信息获取方式的背景下，信息来源可信度与内容真实性问题日益凸显，构建以可信知识网络（KNIT）为核心的认知基础设施，正成为品牌建立长期 AI 认知资产的重要路径。</w:t>
      </w:r>
    </w:p>
    <w:p w14:paraId="4221F334">
      <w:pPr>
        <w:pStyle w:val="22"/>
        <w:keepNext w:val="0"/>
        <w:keepLines w:val="0"/>
        <w:widowControl/>
        <w:suppressLineNumbers w:val="0"/>
        <w:rPr>
          <w:rFonts w:hint="eastAsia"/>
        </w:rPr>
      </w:pPr>
      <w:r>
        <w:t>本白皮书希望推动行业完成一次必要的认知转换：从“争夺结果”转向“建设资产”，从“流量博弈”转向“公信力经营”，从“行业机会表达”转向“行业标准前置表达”。在 AI 时代，真正能够穿越模型迭代、平台变化与监管收敛的，不会是短期操纵，而是建立在真实、合规、透明与可追溯基础上的 AI 品牌资产。</w:t>
      </w:r>
    </w:p>
    <w:p w14:paraId="752BD0E7">
      <w:pPr>
        <w:pStyle w:val="47"/>
      </w:pPr>
      <w:bookmarkStart w:id="0" w:name="_Toc29874"/>
      <w:r>
        <w:t>第一章 范式转移：从“流量主</w:t>
      </w:r>
      <w:r>
        <w:rPr>
          <w:rFonts w:hint="eastAsia"/>
          <w:lang w:val="en-US" w:eastAsia="zh-CN"/>
        </w:rPr>
        <w:t>导权</w:t>
      </w:r>
      <w:r>
        <w:t>”到“认知主</w:t>
      </w:r>
      <w:r>
        <w:rPr>
          <w:rFonts w:hint="eastAsia"/>
          <w:lang w:val="en-US" w:eastAsia="zh-CN"/>
        </w:rPr>
        <w:t>导权</w:t>
      </w:r>
      <w:r>
        <w:t>”</w:t>
      </w:r>
      <w:bookmarkEnd w:id="0"/>
    </w:p>
    <w:p w14:paraId="2CFA2A9A">
      <w:pPr>
        <w:pStyle w:val="48"/>
      </w:pPr>
      <w:bookmarkStart w:id="1" w:name="_Toc4767"/>
      <w:r>
        <w:t>1.1 用户行为的变化：从“找资料”到“要结论”</w:t>
      </w:r>
      <w:bookmarkEnd w:id="1"/>
    </w:p>
    <w:p w14:paraId="14411304">
      <w:pPr>
        <w:pStyle w:val="39"/>
      </w:pPr>
      <w:r>
        <w:t>在传统搜索时代，用户获取信息通常要经历一个相对完整的过程：先用关键词把问题“拆碎”，再打开多个链接交叉对比，最后自己做决定。这个过程看似麻烦，却支撑了互联网长期以来的主流商业模式，因为“点击”既是用户行动的记录，也是平台分配流量与品牌获取转化的基础。</w:t>
      </w:r>
    </w:p>
    <w:p w14:paraId="1F83355B">
      <w:pPr>
        <w:pStyle w:val="39"/>
      </w:pPr>
      <w:r>
        <w:t>生成式人工智能的普及，使这条路径发生了明显变化。用户越来越倾向于用更自然的方式把需求一次讲清楚，例如直接提出预算、时间、偏好、限制条件等，让系统给出“整体建议”和“下一步怎么做”。对用户而言，这意味着更少的搜索成本、更少的筛选成本；对品牌而言，意味着用户在“点开页面之前”就可能完成了初步筛选，甚至已经形成倾向。于是，品牌进入用户考虑范围的关键节点被提前了：不再只取决于能否被点击，还取决于能否出现在答案里，并以合理的方式被解释。</w:t>
      </w:r>
    </w:p>
    <w:p w14:paraId="07A2A0AE">
      <w:pPr>
        <w:pStyle w:val="9"/>
        <w:jc w:val="center"/>
        <w:rPr>
          <w:rFonts w:ascii="等线" w:hAnsi="等线" w:eastAsia="等线"/>
          <w:sz w:val="24"/>
          <w:szCs w:val="24"/>
        </w:rPr>
      </w:pPr>
      <w:r>
        <w:rPr>
          <w:rFonts w:hint="eastAsia" w:ascii="等线" w:hAnsi="等线" w:eastAsia="等线"/>
          <w:sz w:val="24"/>
          <w:szCs w:val="24"/>
        </w:rPr>
        <w:t xml:space="preserve">图表 </w:t>
      </w:r>
      <w:r>
        <w:rPr>
          <w:rFonts w:ascii="等线" w:hAnsi="等线" w:eastAsia="等线"/>
          <w:sz w:val="24"/>
          <w:szCs w:val="24"/>
        </w:rPr>
        <w:fldChar w:fldCharType="begin"/>
      </w:r>
      <w:r>
        <w:rPr>
          <w:rFonts w:ascii="等线" w:hAnsi="等线" w:eastAsia="等线"/>
          <w:sz w:val="24"/>
          <w:szCs w:val="24"/>
        </w:rPr>
        <w:instrText xml:space="preserve"> </w:instrText>
      </w:r>
      <w:r>
        <w:rPr>
          <w:rFonts w:hint="eastAsia" w:ascii="等线" w:hAnsi="等线" w:eastAsia="等线"/>
          <w:sz w:val="24"/>
          <w:szCs w:val="24"/>
        </w:rPr>
        <w:instrText xml:space="preserve">SEQ 图表 \* ARABIC</w:instrText>
      </w:r>
      <w:r>
        <w:rPr>
          <w:rFonts w:ascii="等线" w:hAnsi="等线" w:eastAsia="等线"/>
          <w:sz w:val="24"/>
          <w:szCs w:val="24"/>
        </w:rPr>
        <w:instrText xml:space="preserve"> </w:instrText>
      </w:r>
      <w:r>
        <w:rPr>
          <w:rFonts w:ascii="等线" w:hAnsi="等线" w:eastAsia="等线"/>
          <w:sz w:val="24"/>
          <w:szCs w:val="24"/>
        </w:rPr>
        <w:fldChar w:fldCharType="separate"/>
      </w:r>
      <w:r>
        <w:rPr>
          <w:rFonts w:ascii="等线" w:hAnsi="等线" w:eastAsia="等线"/>
          <w:sz w:val="24"/>
          <w:szCs w:val="24"/>
        </w:rPr>
        <w:t>1</w:t>
      </w:r>
      <w:r>
        <w:rPr>
          <w:rFonts w:ascii="等线" w:hAnsi="等线" w:eastAsia="等线"/>
          <w:sz w:val="24"/>
          <w:szCs w:val="24"/>
        </w:rPr>
        <w:fldChar w:fldCharType="end"/>
      </w:r>
      <w:r>
        <w:rPr>
          <w:rFonts w:hint="eastAsia" w:ascii="等线" w:hAnsi="等线" w:eastAsia="等线"/>
          <w:sz w:val="24"/>
          <w:szCs w:val="24"/>
        </w:rPr>
        <w:t xml:space="preserve"> AI重塑用户搜索体验</w:t>
      </w:r>
    </w:p>
    <w:p w14:paraId="04FAE4AB">
      <w:pPr>
        <w:pStyle w:val="39"/>
        <w:jc w:val="center"/>
      </w:pPr>
      <w:r>
        <w:drawing>
          <wp:inline distT="0" distB="0" distL="0" distR="0">
            <wp:extent cx="5731510" cy="3702050"/>
            <wp:effectExtent l="0" t="0" r="0" b="6350"/>
            <wp:docPr id="118965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5586" name="图片 1"/>
                    <pic:cNvPicPr>
                      <a:picLocks noChangeAspect="1"/>
                    </pic:cNvPicPr>
                  </pic:nvPicPr>
                  <pic:blipFill>
                    <a:blip r:embed="rId6"/>
                    <a:stretch>
                      <a:fillRect/>
                    </a:stretch>
                  </pic:blipFill>
                  <pic:spPr>
                    <a:xfrm>
                      <a:off x="0" y="0"/>
                      <a:ext cx="5731510" cy="3702050"/>
                    </a:xfrm>
                    <a:prstGeom prst="rect">
                      <a:avLst/>
                    </a:prstGeom>
                  </pic:spPr>
                </pic:pic>
              </a:graphicData>
            </a:graphic>
          </wp:inline>
        </w:drawing>
      </w:r>
    </w:p>
    <w:p w14:paraId="2823231A">
      <w:pPr>
        <w:pStyle w:val="33"/>
        <w:spacing w:after="60"/>
      </w:pPr>
    </w:p>
    <w:p w14:paraId="67067203">
      <w:pPr>
        <w:pStyle w:val="48"/>
      </w:pPr>
      <w:bookmarkStart w:id="2" w:name="_Toc23129"/>
      <w:r>
        <w:t>1.2 搜索引擎优化（SEO）的范式重构：从排序逻辑到生成逻辑</w:t>
      </w:r>
      <w:bookmarkEnd w:id="2"/>
    </w:p>
    <w:p w14:paraId="7D50C78F">
      <w:pPr>
        <w:pStyle w:val="39"/>
      </w:pPr>
      <w:r>
        <w:t>不少从业者把变化概括为“SEO 会不会被 AI 取代”。但更准确的说法是：SEO依赖的关键条件正在变化。SEO之所以有效，是因为入口稀缺，且用户必须通过链接跳转来获取信息；只要能在结果列表里占据更好的位置，就更有机会拿到点击与访问。然而，当生成式引擎以“直接答案”作为主要交付方式时，用户不必逐条点击链接也能得到结论，页面排序对决策的影响随之减弱，“点击”也不再是必经环节。</w:t>
      </w:r>
    </w:p>
    <w:p w14:paraId="1F04BD6D">
      <w:pPr>
        <w:pStyle w:val="39"/>
      </w:pPr>
      <w:r>
        <w:t>因此，品牌面临的风险不再只是“排得靠后”，而更可能是“根本不在答案里”。在生成式答案场景中，用户首先看到的是一个合成后的结论与理由，而不是一组可供逐一选择的链接。这使得品牌竞争的重点从“争排名”逐步转向“争进入答案的资格”，即争取被系统采纳与引用。</w:t>
      </w:r>
    </w:p>
    <w:p w14:paraId="13E3B779">
      <w:pPr>
        <w:pStyle w:val="33"/>
        <w:spacing w:after="60"/>
      </w:pPr>
    </w:p>
    <w:p w14:paraId="22024B44">
      <w:pPr>
        <w:pStyle w:val="48"/>
      </w:pPr>
      <w:bookmarkStart w:id="3" w:name="_Toc13211"/>
      <w:r>
        <w:t>1.3 “认知主</w:t>
      </w:r>
      <w:r>
        <w:rPr>
          <w:rFonts w:hint="eastAsia"/>
          <w:lang w:val="en-US" w:eastAsia="zh-CN"/>
        </w:rPr>
        <w:t>导</w:t>
      </w:r>
      <w:r>
        <w:t>权”的含义：能否被系统稳定理解与引用</w:t>
      </w:r>
      <w:bookmarkEnd w:id="3"/>
    </w:p>
    <w:p w14:paraId="4D0E2CEB">
      <w:pPr>
        <w:pStyle w:val="39"/>
      </w:pPr>
      <w:r>
        <w:t>在传统互联网环境中，品牌竞争更多围绕“流量主</w:t>
      </w:r>
      <w:r>
        <w:rPr>
          <w:rFonts w:hint="eastAsia"/>
          <w:lang w:val="en-US" w:eastAsia="zh-CN"/>
        </w:rPr>
        <w:t>导</w:t>
      </w:r>
      <w:r>
        <w:t>权”展开，即谁更能获得曝光、点击与进入页面的机会；而在生成式引擎逐步成为入口的背景下，更关键的资源开始转向“认知主</w:t>
      </w:r>
      <w:r>
        <w:rPr>
          <w:rFonts w:hint="eastAsia"/>
          <w:lang w:val="en-US" w:eastAsia="zh-CN"/>
        </w:rPr>
        <w:t>导</w:t>
      </w:r>
      <w:r>
        <w:t>权”。本报告所称</w:t>
      </w:r>
      <w:r>
        <w:rPr>
          <w:b/>
          <w:bCs/>
        </w:rPr>
        <w:t>“认知主</w:t>
      </w:r>
      <w:r>
        <w:rPr>
          <w:rFonts w:hint="eastAsia"/>
          <w:b/>
          <w:bCs/>
          <w:lang w:val="en-US" w:eastAsia="zh-CN"/>
        </w:rPr>
        <w:t>导</w:t>
      </w:r>
      <w:r>
        <w:rPr>
          <w:b/>
          <w:bCs/>
        </w:rPr>
        <w:t>权”</w:t>
      </w:r>
      <w:r>
        <w:t>，</w:t>
      </w:r>
      <w:r>
        <w:rPr>
          <w:rFonts w:hint="eastAsia" w:ascii="等线" w:hAnsi="等线" w:eastAsia="等线" w:cs="等线"/>
          <w:b/>
          <w:bCs/>
        </w:rPr>
        <w:t>是</w:t>
      </w:r>
      <w:r>
        <w:rPr>
          <w:rStyle w:val="26"/>
          <w:rFonts w:hint="eastAsia" w:ascii="等线" w:hAnsi="等线" w:eastAsia="等线" w:cs="等线"/>
        </w:rPr>
        <w:t>在 AI 成为答案入口之后，品牌是否还能掌握自己被如何理解、如何判断、如何引用的主导权。本质上就是品牌在 AI 时代的“定义权”和“被采纳权”。</w:t>
      </w:r>
      <w:r>
        <w:t>可以用更通俗的话来理解：当用户问到关键问题时，系统是否“想得起你、说得清你、信得过你”。</w:t>
      </w:r>
    </w:p>
    <w:p w14:paraId="33DE1C92">
      <w:pPr>
        <w:pStyle w:val="39"/>
      </w:pPr>
      <w:r>
        <w:t>更严谨地说，认知主</w:t>
      </w:r>
      <w:r>
        <w:rPr>
          <w:rFonts w:hint="eastAsia"/>
          <w:lang w:val="en-US" w:eastAsia="zh-CN"/>
        </w:rPr>
        <w:t>导</w:t>
      </w:r>
      <w:r>
        <w:t>权由三类能力共同构成。第一是可识别性：系统能否准确识别你的品牌实体，知道你属于哪个品类，不与竞品混淆。第二是相关性：在特定问题场景下，你是否与正确的需求、场景与关键词形成稳定关联，从而更容易被召回。第三是可信度与一致性：当系统需要给出理由与建议时，你的内容能否作为可靠依据被引用，你在不同问题下的核心判断是否稳定一致。只有当这三方面形成闭环，品牌才更可能在生成式答案中获得持续、稳定的出现，并形成长期的推荐惯性。</w:t>
      </w:r>
    </w:p>
    <w:p w14:paraId="6AFAE7C6">
      <w:pPr>
        <w:pStyle w:val="33"/>
        <w:spacing w:after="60"/>
      </w:pPr>
    </w:p>
    <w:p w14:paraId="369A95DC">
      <w:pPr>
        <w:pStyle w:val="39"/>
      </w:pPr>
      <w:r>
        <w:t>这也意味着，品牌传播不再只需要面对用户的注意力与偏好，还需要面对生成式系统对信息的筛选逻辑。若品牌内容无法以“机器可用”的方式进入证据链与推理链，即便在传统渠道仍保持一定声量，也可能在新入口中逐步变得不可见、不可选。</w:t>
      </w:r>
    </w:p>
    <w:p w14:paraId="6373E738">
      <w:pPr>
        <w:pStyle w:val="33"/>
        <w:spacing w:after="60"/>
      </w:pPr>
    </w:p>
    <w:p w14:paraId="707A486D">
      <w:pPr>
        <w:pStyle w:val="48"/>
      </w:pPr>
      <w:bookmarkStart w:id="4" w:name="_Toc6072"/>
      <w:r>
        <w:t>1.4 中国市场为何更快：入口融合与闭环更强</w:t>
      </w:r>
      <w:bookmarkEnd w:id="4"/>
    </w:p>
    <w:p w14:paraId="1E396BD2">
      <w:pPr>
        <w:pStyle w:val="39"/>
      </w:pPr>
      <w:r>
        <w:t>与海外市场相比，中国市场在生成式交互普及、平台整合与商业闭环形成方面具备更强的加速度。一方面，用户更倾向于接受“直接给结论”的信息形态，尤其是在高频生活决策与消费决策中；另一方面，超级平台生态使生成式答案更容易与内容、社交、搜索及交易链路连接，答案不再只是“参考”，而可能直接进入转化动作。此外，品牌长期依赖平台分发，一旦平台从“分发内容”转向“生成答案”，品牌策略就很难停留在旧逻辑上，迁移会更迅速、更集中。</w:t>
      </w:r>
    </w:p>
    <w:p w14:paraId="1BEA1243">
      <w:pPr>
        <w:pStyle w:val="39"/>
      </w:pPr>
      <w:r>
        <w:t>因此，在中国语境下，生成式 AI 更可能以“认知基础设施”的形态嵌入用户日常。对品牌而言，这种基础设施化带来新的门槛：仅在传统渠道“被看见”不再足够，更需要在生成式入口中保持可验证、可持续的存在。</w:t>
      </w:r>
    </w:p>
    <w:p w14:paraId="7DCB45F0">
      <w:pPr>
        <w:pStyle w:val="33"/>
        <w:spacing w:after="60"/>
      </w:pPr>
    </w:p>
    <w:p w14:paraId="7A4711D4">
      <w:pPr>
        <w:pStyle w:val="48"/>
      </w:pPr>
      <w:bookmarkStart w:id="5" w:name="_Toc22565"/>
      <w:r>
        <w:t>1.5 品牌在生成式语境下的“认知稀释”与隐性出局风险</w:t>
      </w:r>
      <w:bookmarkEnd w:id="5"/>
    </w:p>
    <w:p w14:paraId="1383E5C8">
      <w:pPr>
        <w:pStyle w:val="39"/>
      </w:pPr>
      <w:r>
        <w:t>在生成式引擎主导的场景中，品牌可能面临一种更隐蔽的出局方式：不是被明确否定，而是因为无法被系统稳定理解与引用，从而逐步被排除在关键问题的答案之外。这种变化往往缺乏传统意义上的警报信号，它不一定表现为一次明显的排名下滑或投放失效，而更可能表现为：在高价值问题中出现频率降低、被推荐的顺位下降、在答案中长期缺席。其影响累积到一定程度，才会在获客成本、转化效率与品牌偏好上以更迟滞的方式显现。</w:t>
      </w:r>
    </w:p>
    <w:p w14:paraId="4612F58F">
      <w:pPr>
        <w:pStyle w:val="39"/>
      </w:pPr>
      <w:r>
        <w:t xml:space="preserve">基于上述判断，本报告后续章节将进一步展开生成式引擎的机制：它如何检索与筛选信息、如何决定引用哪些内容，以及品牌应如何通过语义资产与答案资产进入证据链路，并建立更适配“答案时代”的指标体系与治理框架，以支持 </w:t>
      </w:r>
      <w:r>
        <w:rPr>
          <w:rFonts w:hint="eastAsia"/>
          <w:lang w:eastAsia="zh-CN"/>
        </w:rPr>
        <w:t>生成式内容优化</w:t>
      </w:r>
      <w:r>
        <w:t xml:space="preserve"> 能力在中国市场走向规范化与可持续发展。</w:t>
      </w:r>
    </w:p>
    <w:p w14:paraId="606348DD">
      <w:pPr>
        <w:pStyle w:val="47"/>
      </w:pPr>
      <w:r>
        <w:br w:type="page"/>
      </w:r>
      <w:bookmarkStart w:id="6" w:name="_Toc23365"/>
      <w:r>
        <w:t xml:space="preserve">第二章 </w:t>
      </w:r>
      <w:r>
        <w:rPr>
          <w:rFonts w:hint="eastAsia"/>
          <w:lang w:val="en-US" w:eastAsia="zh-CN"/>
        </w:rPr>
        <w:t xml:space="preserve"> AI品牌资产建设：</w:t>
      </w:r>
      <w:r>
        <w:t>从“被发现”到“被引用”</w:t>
      </w:r>
      <w:bookmarkEnd w:id="6"/>
    </w:p>
    <w:p w14:paraId="5BEF1EED">
      <w:pPr>
        <w:pStyle w:val="48"/>
      </w:pPr>
      <w:bookmarkStart w:id="7" w:name="_Toc9375"/>
      <w:r>
        <w:t>2.1 为什么需要</w:t>
      </w:r>
      <w:r>
        <w:rPr>
          <w:rFonts w:hint="eastAsia"/>
          <w:lang w:val="en-US" w:eastAsia="zh-CN"/>
        </w:rPr>
        <w:t>AI品牌资产建设</w:t>
      </w:r>
      <w:r>
        <w:t>：不是换概念，而是换了竞争逻辑</w:t>
      </w:r>
      <w:bookmarkEnd w:id="7"/>
    </w:p>
    <w:p w14:paraId="36D203C3">
      <w:pPr>
        <w:pStyle w:val="22"/>
        <w:keepNext w:val="0"/>
        <w:keepLines w:val="0"/>
        <w:widowControl/>
        <w:suppressLineNumbers w:val="0"/>
      </w:pPr>
      <w:r>
        <w:t>在传统搜索时代，品牌工作的重点，更多是围绕“让用户找到信息”展开。只要用户愿意点击链接、进入页面、继续浏览，品牌仍然有机会通过页面内容、产品信息、价格说明、用户评价与转化设计去完成后续影响。然而在生成式人工智能成为重要信息入口之后，这一逻辑正在发生变化：系统开始承担越来越多的信息筛选、归纳与表达工作，用户在点击页面之前，往往已经获得了一轮经过整合的回答，甚至已经形成初步判断。对品牌而言，这意味着影响用户认知的关键环节，不再只发生在“页面被打开之后”，而越来越多地发生在“答案被生成之前”与“结论被组织之时”。</w:t>
      </w:r>
    </w:p>
    <w:p w14:paraId="18BFE170">
      <w:pPr>
        <w:pStyle w:val="22"/>
        <w:keepNext w:val="0"/>
        <w:keepLines w:val="0"/>
        <w:widowControl/>
        <w:suppressLineNumbers w:val="0"/>
      </w:pPr>
      <w:r>
        <w:t>因此，企业今天所面对的问题，并不是简单地给旧方法换一个新名词，而是建设对象发生了变化。品牌需要建设的不再只是分散的传播内容，而是一套能够被 AI 系统稳定读取、合理归类、持续更新并审慎引用的品牌知识体系。这里真正变化的，不是“营销是否还重要”，而是品牌进入用户认知链路的方式发生了迁移：从依赖曝光与点击，转向依赖被系统正确理解、被纳入有效证据、被纳入候选集合的能力。</w:t>
      </w:r>
    </w:p>
    <w:p w14:paraId="15964DCB">
      <w:pPr>
        <w:pStyle w:val="22"/>
        <w:keepNext w:val="0"/>
        <w:keepLines w:val="0"/>
        <w:widowControl/>
        <w:suppressLineNumbers w:val="0"/>
      </w:pPr>
      <w:r>
        <w:t>也正因如此，本白皮书并不将 AI 品牌资产建设理解为对生成式系统结果的操纵。相反，它强调的是一套更基础、也更长期的能力：品牌是否具备真实、准确、可验证、可复用的知识供给能力，是否能够在不同问题、不同场景与不同表达方式下，向 AI 系统提供更低歧义、更高可信度的品牌信息。与其说这是一次“流量技巧升级”，不如说这是一次品牌信息底座的重建。</w:t>
      </w:r>
    </w:p>
    <w:p w14:paraId="388CD90E">
      <w:pPr>
        <w:pStyle w:val="33"/>
        <w:spacing w:after="60"/>
      </w:pPr>
    </w:p>
    <w:p w14:paraId="0E6FD2CB">
      <w:pPr>
        <w:pStyle w:val="48"/>
      </w:pPr>
      <w:bookmarkStart w:id="8" w:name="_Toc12433"/>
      <w:r>
        <w:t>2.2</w:t>
      </w:r>
      <w:r>
        <w:rPr>
          <w:rFonts w:hint="eastAsia" w:ascii="等线" w:hAnsi="等线" w:eastAsia="等线" w:cs="等线"/>
          <w:sz w:val="32"/>
          <w:szCs w:val="32"/>
        </w:rPr>
        <w:t xml:space="preserve"> </w:t>
      </w:r>
      <w:r>
        <w:rPr>
          <w:rFonts w:hint="eastAsia" w:ascii="等线" w:hAnsi="等线" w:eastAsia="等线" w:cs="等线"/>
          <w:sz w:val="28"/>
          <w:szCs w:val="28"/>
        </w:rPr>
        <w:t>AI 品牌资产建设</w:t>
      </w:r>
      <w:r>
        <w:t>三个层次：被发现、被选择、被引用</w:t>
      </w:r>
      <w:bookmarkEnd w:id="8"/>
    </w:p>
    <w:p w14:paraId="62581BC0">
      <w:pPr>
        <w:pStyle w:val="22"/>
        <w:keepNext w:val="0"/>
        <w:keepLines w:val="0"/>
        <w:widowControl/>
        <w:suppressLineNumbers w:val="0"/>
      </w:pPr>
      <w:r>
        <w:t>如果要用更简洁的方式概括 AI 品牌资产建设的核心任务，可以将其分为三个层次。</w:t>
      </w:r>
    </w:p>
    <w:p w14:paraId="7F739002">
      <w:pPr>
        <w:pStyle w:val="22"/>
        <w:keepNext w:val="0"/>
        <w:keepLines w:val="0"/>
        <w:widowControl/>
        <w:suppressLineNumbers w:val="0"/>
      </w:pPr>
      <w:r>
        <w:t>第一层是</w:t>
      </w:r>
      <w:r>
        <w:rPr>
          <w:rStyle w:val="26"/>
        </w:rPr>
        <w:t>被发现</w:t>
      </w:r>
      <w:r>
        <w:t>。这意味着品牌至少要在 AI 的检索与召回过程中具备基本可见性：品牌名称能够被正确识别，核心产品与服务能够被正确归类，品牌不会因为信息过于零散、语义模糊或名称歧义而在问题路由阶段被遗漏。对很多品牌来说，这一层并不是理所当然的。过去依靠平台投放或自然流量获得曝光，并不自动等于在生成式场景中具备可发现性，因为后者更依赖品牌事实信息的清晰度与语义映射的稳定性。</w:t>
      </w:r>
    </w:p>
    <w:p w14:paraId="2823BA5D">
      <w:pPr>
        <w:pStyle w:val="22"/>
        <w:keepNext w:val="0"/>
        <w:keepLines w:val="0"/>
        <w:widowControl/>
        <w:suppressLineNumbers w:val="0"/>
      </w:pPr>
      <w:r>
        <w:t>第二层是</w:t>
      </w:r>
      <w:r>
        <w:rPr>
          <w:rStyle w:val="26"/>
        </w:rPr>
        <w:t>被理解</w:t>
      </w:r>
      <w:r>
        <w:t>。品牌被系统看到，并不意味着系统真正理解了品牌。AI 在回答高价值问题时，往往不仅需要“知道有这个品牌”，还需要知道品牌是什么、解决什么问题、适合什么场景、与什么品类或替代方案相关、边界在哪里、风险点是什么。如果品牌的信息供给缺乏结构化表达，或长期存在口径不一致、表述夸张、证据不足等问题，就很容易出现误读、错引、过度简化或风险化标签集中的情况。你原稿中关于“品牌在 AI 环境中需要形成清晰、稳定的认知画像”的判断，实际上就是这一层的核心。</w:t>
      </w:r>
    </w:p>
    <w:p w14:paraId="34818E6B">
      <w:pPr>
        <w:pStyle w:val="22"/>
        <w:keepNext w:val="0"/>
        <w:keepLines w:val="0"/>
        <w:widowControl/>
        <w:suppressLineNumbers w:val="0"/>
      </w:pPr>
      <w:r>
        <w:t>第三层是</w:t>
      </w:r>
      <w:r>
        <w:rPr>
          <w:rStyle w:val="26"/>
        </w:rPr>
        <w:t>被引用</w:t>
      </w:r>
      <w:r>
        <w:t>。在生成式环境中，尤其是在决策价值高、风险敏感度高的问题场景下，系统并不会只凭“听说过”某个品牌就轻易给出明确建议。它更依赖能够提供出处与依据的材料，包括品牌事实、第三方报告、结构化 FAQ、可核验案例、权威媒体报道、认证与合规说明等。也就是说，品牌最终能否在 AI 输出中形成更稳固的存在，不仅取决于是否“出现过”，更取决于是否具备足够的证据支撑，使系统在表达品牌时“有依据可援引”。这也是你原稿“从被发现到被引用”的真正深层含义，只是需要从“竞争话语”转成“资产建设话语”。</w:t>
      </w:r>
    </w:p>
    <w:p w14:paraId="19F051B9">
      <w:pPr>
        <w:pStyle w:val="22"/>
        <w:keepNext w:val="0"/>
        <w:keepLines w:val="0"/>
        <w:widowControl/>
        <w:suppressLineNumbers w:val="0"/>
      </w:pPr>
      <w:r>
        <w:t>从这个角度看，AI 品牌资产建设不是一个单点动作，而是一条递进路径：先解决品牌被找到的问题，再解决品牌被看懂的问题，最后解决品牌被合理引用的问题。三者缺一不可，且越往后，越要求品牌具备更高的信息质量、更强的知识组织能力与更清晰的边界表达能力。</w:t>
      </w:r>
    </w:p>
    <w:p w14:paraId="351DB8A2">
      <w:pPr>
        <w:widowControl/>
        <w:rPr>
          <w:rFonts w:ascii="等线" w:hAnsi="等线" w:eastAsia="等线" w:cstheme="majorBidi"/>
        </w:rPr>
      </w:pPr>
      <w:r>
        <w:rPr>
          <w:rFonts w:ascii="等线" w:hAnsi="等线" w:eastAsia="等线"/>
        </w:rPr>
        <w:br w:type="page"/>
      </w:r>
    </w:p>
    <w:p w14:paraId="5040DEC4">
      <w:pPr>
        <w:pStyle w:val="9"/>
        <w:jc w:val="center"/>
        <w:rPr>
          <w:rFonts w:ascii="等线" w:hAnsi="等线" w:eastAsia="等线"/>
          <w:sz w:val="24"/>
          <w:szCs w:val="24"/>
        </w:rPr>
      </w:pPr>
      <w:r>
        <w:rPr>
          <w:rFonts w:hint="eastAsia" w:ascii="等线" w:hAnsi="等线" w:eastAsia="等线"/>
          <w:sz w:val="24"/>
          <w:szCs w:val="24"/>
        </w:rPr>
        <w:t xml:space="preserve">图表 </w:t>
      </w:r>
      <w:r>
        <w:rPr>
          <w:rFonts w:ascii="等线" w:hAnsi="等线" w:eastAsia="等线"/>
          <w:sz w:val="24"/>
          <w:szCs w:val="24"/>
        </w:rPr>
        <w:fldChar w:fldCharType="begin"/>
      </w:r>
      <w:r>
        <w:rPr>
          <w:rFonts w:ascii="等线" w:hAnsi="等线" w:eastAsia="等线"/>
          <w:sz w:val="24"/>
          <w:szCs w:val="24"/>
        </w:rPr>
        <w:instrText xml:space="preserve"> </w:instrText>
      </w:r>
      <w:r>
        <w:rPr>
          <w:rFonts w:hint="eastAsia" w:ascii="等线" w:hAnsi="等线" w:eastAsia="等线"/>
          <w:sz w:val="24"/>
          <w:szCs w:val="24"/>
        </w:rPr>
        <w:instrText xml:space="preserve">SEQ 图表 \* ARABIC</w:instrText>
      </w:r>
      <w:r>
        <w:rPr>
          <w:rFonts w:ascii="等线" w:hAnsi="等线" w:eastAsia="等线"/>
          <w:sz w:val="24"/>
          <w:szCs w:val="24"/>
        </w:rPr>
        <w:instrText xml:space="preserve"> </w:instrText>
      </w:r>
      <w:r>
        <w:rPr>
          <w:rFonts w:ascii="等线" w:hAnsi="等线" w:eastAsia="等线"/>
          <w:sz w:val="24"/>
          <w:szCs w:val="24"/>
        </w:rPr>
        <w:fldChar w:fldCharType="separate"/>
      </w:r>
      <w:r>
        <w:rPr>
          <w:rFonts w:ascii="等线" w:hAnsi="等线" w:eastAsia="等线"/>
          <w:sz w:val="24"/>
          <w:szCs w:val="24"/>
        </w:rPr>
        <w:t>2</w:t>
      </w:r>
      <w:r>
        <w:rPr>
          <w:rFonts w:ascii="等线" w:hAnsi="等线" w:eastAsia="等线"/>
          <w:sz w:val="24"/>
          <w:szCs w:val="24"/>
        </w:rPr>
        <w:fldChar w:fldCharType="end"/>
      </w:r>
      <w:r>
        <w:rPr>
          <w:rFonts w:hint="eastAsia" w:ascii="等线" w:hAnsi="等线" w:eastAsia="等线"/>
          <w:sz w:val="24"/>
          <w:szCs w:val="24"/>
        </w:rPr>
        <w:t xml:space="preserve"> </w:t>
      </w:r>
      <w:r>
        <w:rPr>
          <w:rFonts w:hint="eastAsia" w:ascii="等线" w:hAnsi="等线" w:eastAsia="等线"/>
          <w:sz w:val="24"/>
          <w:szCs w:val="24"/>
          <w:lang w:val="en-US" w:eastAsia="zh-CN"/>
        </w:rPr>
        <w:t>AI品牌资产建设</w:t>
      </w:r>
      <w:r>
        <w:rPr>
          <w:rFonts w:hint="eastAsia" w:ascii="等线" w:hAnsi="等线" w:eastAsia="等线"/>
          <w:sz w:val="24"/>
          <w:szCs w:val="24"/>
        </w:rPr>
        <w:t>的实现路径</w:t>
      </w:r>
    </w:p>
    <w:p w14:paraId="63AEDCB8">
      <w:pPr>
        <w:pStyle w:val="39"/>
        <w:jc w:val="center"/>
      </w:pPr>
      <w:r>
        <w:drawing>
          <wp:inline distT="0" distB="0" distL="0" distR="0">
            <wp:extent cx="5105400" cy="2844800"/>
            <wp:effectExtent l="0" t="0" r="0" b="0"/>
            <wp:docPr id="170368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84702" name="图片 1"/>
                    <pic:cNvPicPr>
                      <a:picLocks noChangeAspect="1"/>
                    </pic:cNvPicPr>
                  </pic:nvPicPr>
                  <pic:blipFill>
                    <a:blip r:embed="rId7"/>
                    <a:stretch>
                      <a:fillRect/>
                    </a:stretch>
                  </pic:blipFill>
                  <pic:spPr>
                    <a:xfrm>
                      <a:off x="0" y="0"/>
                      <a:ext cx="5105400" cy="2844800"/>
                    </a:xfrm>
                    <a:prstGeom prst="rect">
                      <a:avLst/>
                    </a:prstGeom>
                  </pic:spPr>
                </pic:pic>
              </a:graphicData>
            </a:graphic>
          </wp:inline>
        </w:drawing>
      </w:r>
    </w:p>
    <w:p w14:paraId="46565EAD">
      <w:pPr>
        <w:pStyle w:val="33"/>
        <w:spacing w:after="60"/>
      </w:pPr>
    </w:p>
    <w:p w14:paraId="39B3D013">
      <w:pPr>
        <w:pStyle w:val="3"/>
        <w:keepNext w:val="0"/>
        <w:keepLines w:val="0"/>
        <w:widowControl/>
        <w:suppressLineNumbers w:val="0"/>
        <w:rPr>
          <w:color w:val="auto"/>
        </w:rPr>
      </w:pPr>
      <w:bookmarkStart w:id="9" w:name="_Toc29736"/>
      <w:r>
        <w:rPr>
          <w:color w:val="auto"/>
        </w:rPr>
        <w:t xml:space="preserve">2.3 </w:t>
      </w:r>
      <w:r>
        <w:rPr>
          <w:rFonts w:hint="eastAsia"/>
          <w:color w:val="auto"/>
          <w:lang w:val="en-US" w:eastAsia="zh-CN"/>
        </w:rPr>
        <w:t>AI品牌资产建设的对象</w:t>
      </w:r>
      <w:r>
        <w:rPr>
          <w:color w:val="auto"/>
        </w:rPr>
        <w:t>：从“内容产出”转向“品牌信息治理”</w:t>
      </w:r>
      <w:bookmarkEnd w:id="9"/>
    </w:p>
    <w:p w14:paraId="1E7D8471">
      <w:pPr>
        <w:pStyle w:val="22"/>
        <w:keepNext w:val="0"/>
        <w:keepLines w:val="0"/>
        <w:widowControl/>
        <w:suppressLineNumbers w:val="0"/>
      </w:pPr>
      <w:r>
        <w:t>在很多企业的旧有理解中，品牌建设往往等于持续输出内容：做更多文章、发更多稿件、铺更多页面、争取更多曝光。这套逻辑在搜索时代有其合理性，因为链接排序与页面覆盖对流量分发具有直接作用。但在生成式环境中，单纯增加内容数量并不能自然转化为更强的品牌表现，甚至在某些情况下，大量重复、同质、低质量的内容反而会增加系统理解难度，制造语义噪音，并拉低品牌信息的一致性与可信度。</w:t>
      </w:r>
    </w:p>
    <w:p w14:paraId="6CA1A4E1">
      <w:pPr>
        <w:pStyle w:val="22"/>
        <w:keepNext w:val="0"/>
        <w:keepLines w:val="0"/>
        <w:widowControl/>
        <w:suppressLineNumbers w:val="0"/>
      </w:pPr>
      <w:r>
        <w:t>因此，AI 品牌资产建设的对象，需要从单纯的“内容产出”转向更底层的“品牌信息治理”。这里的治理，不是抽象意义上的管理口号，而是指对品牌信息进行系统梳理、结构化整理、权威来源锚定、口径统一、边界清晰化与持续更新的过程。它强调的是：品牌提供给 AI 的不是一堆分散文本，而是一套能够相互印证、相互支持、层次清晰的知识体系。</w:t>
      </w:r>
    </w:p>
    <w:p w14:paraId="7A7AF8E6">
      <w:pPr>
        <w:pStyle w:val="22"/>
        <w:keepNext w:val="0"/>
        <w:keepLines w:val="0"/>
        <w:widowControl/>
        <w:suppressLineNumbers w:val="0"/>
      </w:pPr>
      <w:r>
        <w:t>这一建设对象的转变，也意味着企业要重新理解“语义资产”的含义。所谓语义资产，并不是为了让系统“更偏向你”，而是为了让系统在遇到与你相关的问题时，能够更低成本地完成识别、归类、比较、解释与引用。企业需要建设的不只是“说了很多”，而是“说得清楚、说得一致、说得有依据、说得可复核”。从这个意义上讲，AI 品牌资产建设本质上是一种品牌信息基础设施工程，其目标不是制造更高的噪音，而是降低理解成本、降低误读概率并提升可信表达的稳定性。</w:t>
      </w:r>
    </w:p>
    <w:p w14:paraId="32274BF6">
      <w:pPr>
        <w:pStyle w:val="39"/>
      </w:pPr>
      <w:r>
        <w:t>在语义资产管理的实践中，</w:t>
      </w:r>
      <w:r>
        <w:rPr>
          <w:b/>
          <w:bCs/>
        </w:rPr>
        <w:t>可信知识网络（KNIT）系统性地回应了 AI 时代企业认知管理的新挑战。</w:t>
      </w:r>
      <w:r>
        <w:rPr>
          <w:rFonts w:hint="eastAsia"/>
        </w:rPr>
        <w:t>可信知识网络（KNIT，Knowledge Network of Integrity &amp; Trust）是由弗若斯特沙利文与头豹研究院联合提出的概念。它系统性回应了 AI 时代企业认知管理的新挑战。这套面向 AI 时代的企业级认知基础设施解决方案以真实世界数据、权威研究结论、结构化图谱、第三方验证结果与可追溯信息来源为核心构成要素，通过AI认知基线诊断、真实世界验证、权威事实锚定、知识结构化工程、可信内容扩散、持续监测与认知巩固的六层结构化工程，将企业分散的非结构化信息编织成可被 AI 稳定理解、引用与复用的标准化知识体系。其核心目标是帮助企业掌握 AI 时代的认知主导权，确保自身被市场正确理解，让 AI 能基于准确前提稳定引用企业核心价值与关键数据，同时规避数据投毒、算法幻觉、认知稀释等系统性风险，将企业关键事实转化为长期可调用、可累积的可信数字资产。</w:t>
      </w:r>
    </w:p>
    <w:p w14:paraId="2899E56D">
      <w:pPr>
        <w:pStyle w:val="33"/>
        <w:spacing w:after="60"/>
      </w:pPr>
    </w:p>
    <w:p w14:paraId="542BFBB3">
      <w:pPr>
        <w:pStyle w:val="3"/>
        <w:keepNext w:val="0"/>
        <w:keepLines w:val="0"/>
        <w:widowControl/>
        <w:suppressLineNumbers w:val="0"/>
        <w:rPr>
          <w:rFonts w:hint="eastAsia" w:ascii="等线" w:hAnsi="等线" w:eastAsia="等线" w:cs="等线"/>
          <w:b/>
          <w:bCs/>
          <w:color w:val="auto"/>
        </w:rPr>
      </w:pPr>
      <w:bookmarkStart w:id="10" w:name="_Toc21708"/>
      <w:r>
        <w:rPr>
          <w:rFonts w:hint="eastAsia" w:ascii="等线" w:hAnsi="等线" w:eastAsia="等线" w:cs="等线"/>
          <w:b/>
          <w:bCs/>
          <w:color w:val="auto"/>
        </w:rPr>
        <w:t>2.4 AI 品牌资产（AIBE）：品牌资产的新“存放位置”</w:t>
      </w:r>
      <w:bookmarkEnd w:id="10"/>
    </w:p>
    <w:p w14:paraId="22F49E86">
      <w:pPr>
        <w:pStyle w:val="22"/>
        <w:keepNext w:val="0"/>
        <w:keepLines w:val="0"/>
        <w:widowControl/>
        <w:suppressLineNumbers w:val="0"/>
      </w:pPr>
      <w:r>
        <w:rPr>
          <w:color w:val="auto"/>
        </w:rPr>
        <w:t>传统品牌资产讨论的是消费者心智中的沉淀，例如知名度、偏好</w:t>
      </w:r>
      <w:r>
        <w:t>、信任感、忠诚度等。这些维度在 AI 时代并不会失效，但品牌资产的“存放位置”正在发生扩展：除了存在于消费者心智之中，品牌还需要在 AI 系统中形成清晰、稳定、可复用的知识画像。AI 在回答问题时，会依据其已有知识、可检索证据与生成机制，对品牌进行归类、比较、总结并给出建议，这种“系统对品牌的认知”会越来越直接地影响用户的第一印象与候选范围。</w:t>
      </w:r>
    </w:p>
    <w:p w14:paraId="70CCA03E">
      <w:pPr>
        <w:pStyle w:val="22"/>
        <w:keepNext w:val="0"/>
        <w:keepLines w:val="0"/>
        <w:widowControl/>
        <w:suppressLineNumbers w:val="0"/>
      </w:pPr>
      <w:r>
        <w:t>基于此，本白皮书延续 AIBE（AI Brand Equity，AI 品牌资产）这一概念，用于描述品牌在 AI 环境中的综合价值表现。与传统品牌资产相比，AIBE 更强调三个特征：其一，品牌是否能够被 AI 准确理解，而不仅仅是被用户记住；其二，品牌是否具备足够可信的证据与信息组织能力，使其在复杂问题中能够被稳定表达与合理引用；其三，品牌是否能够在不同模型、不同问题与不同时间窗口下，保持较高的一致性、透明度与边界清晰度。</w:t>
      </w:r>
    </w:p>
    <w:p w14:paraId="7408ACCE">
      <w:pPr>
        <w:pStyle w:val="22"/>
        <w:keepNext w:val="0"/>
        <w:keepLines w:val="0"/>
        <w:widowControl/>
        <w:suppressLineNumbers w:val="0"/>
      </w:pPr>
      <w:r>
        <w:t>需要强调的是，AIBE 的意义不在于把品牌建设从“人”完全转向“机器”，而在于承认 AI 已经成为连接品牌与用户的重要中间层。企业今天面对的，不只是用户会如何看待自己，也包括系统会如何理解自己、如何总结自己、如何把自己放入与其他品牌的比较框架之中。谁能够率先把品牌知识结构化、证据化、可验证化，谁就更有可能在 AI 时代形成更稳固、更可持续的品牌资产。</w:t>
      </w:r>
    </w:p>
    <w:p w14:paraId="70714537">
      <w:pPr>
        <w:pStyle w:val="39"/>
      </w:pPr>
    </w:p>
    <w:p w14:paraId="44793050">
      <w:pPr>
        <w:pStyle w:val="33"/>
        <w:spacing w:after="60"/>
      </w:pPr>
    </w:p>
    <w:p w14:paraId="243610B4">
      <w:pPr>
        <w:pStyle w:val="3"/>
        <w:keepNext w:val="0"/>
        <w:keepLines w:val="0"/>
        <w:widowControl/>
        <w:suppressLineNumbers w:val="0"/>
        <w:rPr>
          <w:rFonts w:hint="eastAsia" w:ascii="等线" w:hAnsi="等线" w:eastAsia="等线" w:cs="等线"/>
          <w:b/>
          <w:bCs/>
          <w:color w:val="auto"/>
        </w:rPr>
      </w:pPr>
      <w:bookmarkStart w:id="11" w:name="_Toc19347"/>
      <w:r>
        <w:rPr>
          <w:rFonts w:hint="eastAsia" w:ascii="等线" w:hAnsi="等线" w:eastAsia="等线" w:cs="等线"/>
          <w:b/>
          <w:bCs/>
          <w:color w:val="auto"/>
        </w:rPr>
        <w:t>2.5 AIBE 的五层路径：从可识别到可治理</w:t>
      </w:r>
      <w:bookmarkEnd w:id="11"/>
    </w:p>
    <w:p w14:paraId="77A8F129">
      <w:pPr>
        <w:pStyle w:val="22"/>
        <w:keepNext w:val="0"/>
        <w:keepLines w:val="0"/>
        <w:widowControl/>
        <w:suppressLineNumbers w:val="0"/>
      </w:pPr>
      <w:r>
        <w:t>为了让 AIBE 这一概念具备更强的可操作性，本白皮书继续采用分层视角来描述品牌在 AI 环境中的成熟路径。</w:t>
      </w:r>
    </w:p>
    <w:p w14:paraId="47251CA8">
      <w:pPr>
        <w:pStyle w:val="22"/>
        <w:keepNext w:val="0"/>
        <w:keepLines w:val="0"/>
        <w:widowControl/>
        <w:suppressLineNumbers w:val="0"/>
      </w:pPr>
      <w:r>
        <w:t>第一层是</w:t>
      </w:r>
      <w:r>
        <w:rPr>
          <w:rStyle w:val="26"/>
        </w:rPr>
        <w:t>可识别性</w:t>
      </w:r>
      <w:r>
        <w:t>。品牌首先要能够被系统准确识别为一个明确实体，避免与其他品牌、品类或通用名词混淆，并能被归类到正确的业务范围与应用语境之中。没有可识别性，后续所有被理解、被引用与被比较都无从谈起。</w:t>
      </w:r>
    </w:p>
    <w:p w14:paraId="76521EE4">
      <w:pPr>
        <w:pStyle w:val="22"/>
        <w:keepNext w:val="0"/>
        <w:keepLines w:val="0"/>
        <w:widowControl/>
        <w:suppressLineNumbers w:val="0"/>
      </w:pPr>
      <w:r>
        <w:t>第二层是</w:t>
      </w:r>
      <w:r>
        <w:rPr>
          <w:rStyle w:val="26"/>
        </w:rPr>
        <w:t>语境相关性</w:t>
      </w:r>
      <w:r>
        <w:t>。品牌不仅要被识别出来，还要能够在相关问题场景中被稳定联想到。也就是说，当用户提出具体需求、限制条件、对比问题或决策情境时，品牌是否能够与这些情境形成合理关联，而不是仅在极少数机械问题中被提及。</w:t>
      </w:r>
    </w:p>
    <w:p w14:paraId="0EE539FC">
      <w:pPr>
        <w:pStyle w:val="22"/>
        <w:keepNext w:val="0"/>
        <w:keepLines w:val="0"/>
        <w:widowControl/>
        <w:suppressLineNumbers w:val="0"/>
      </w:pPr>
      <w:r>
        <w:t>第三层是</w:t>
      </w:r>
      <w:r>
        <w:rPr>
          <w:rStyle w:val="26"/>
        </w:rPr>
        <w:t>认知一致性</w:t>
      </w:r>
      <w:r>
        <w:t>。在不同问题、不同表述、不同模型和不同时间窗口下，系统对品牌核心能力、适用边界、优势特征与风险提示的判断是否稳定一致。你原稿一直很重视这一点，这也是 AIBV 里“认知一致性指标”的理论来源。</w:t>
      </w:r>
    </w:p>
    <w:p w14:paraId="16CE13F4">
      <w:pPr>
        <w:pStyle w:val="22"/>
        <w:keepNext w:val="0"/>
        <w:keepLines w:val="0"/>
        <w:widowControl/>
        <w:suppressLineNumbers w:val="0"/>
      </w:pPr>
      <w:r>
        <w:t>第四层是</w:t>
      </w:r>
      <w:r>
        <w:rPr>
          <w:rStyle w:val="26"/>
        </w:rPr>
        <w:t>引用可信性</w:t>
      </w:r>
      <w:r>
        <w:t>。品牌相关信息是否具备足够可信度，使系统愿意将其作为依据纳入回答。这并不是简单追求“被引用次数更多”，而是强调品牌是否拥有足够高质量的证据型内容、第三方可验证内容与权威来源，从而在高价值问题中被更审慎、更稳妥地表达。</w:t>
      </w:r>
    </w:p>
    <w:p w14:paraId="56CEBF07">
      <w:pPr>
        <w:pStyle w:val="22"/>
        <w:keepNext w:val="0"/>
        <w:keepLines w:val="0"/>
        <w:widowControl/>
        <w:suppressLineNumbers w:val="0"/>
      </w:pPr>
      <w:r>
        <w:t>第五层是</w:t>
      </w:r>
      <w:r>
        <w:rPr>
          <w:rStyle w:val="26"/>
        </w:rPr>
        <w:t>治理可持续性</w:t>
      </w:r>
      <w:r>
        <w:t>。这一层是本次重写新增强调的内容。品牌不仅要在某个时间点表现良好，更要能够持续监测 AI 对自身的误读、错引、过时信息、风险化表达与口径分裂问题，并通过问题集、事实库、FAQ、证据补强与口径治理等方式进行持续修复。这使 AIBE 不再只是一个静态表现概念，而成为一个兼具建设性与治理性的品牌资产框架。</w:t>
      </w:r>
    </w:p>
    <w:p w14:paraId="2E7A1045">
      <w:pPr>
        <w:pStyle w:val="22"/>
        <w:keepNext w:val="0"/>
        <w:keepLines w:val="0"/>
        <w:widowControl/>
        <w:suppressLineNumbers w:val="0"/>
      </w:pPr>
      <w:r>
        <w:t>由此，AIBE 的价值不在于提供一个抽象标签，而在于帮助企业建立一套可复盘、可分层、可治理的品牌资产路径：从可识别，到可关联；从可理解，到可信用；从可表达，到可治理。这种路径越清晰，企业在 AI 时代越不容易因为信息噪音、口径失真与语义缺位而“无声出局”。</w:t>
      </w:r>
    </w:p>
    <w:p w14:paraId="140B9140">
      <w:pPr>
        <w:pStyle w:val="39"/>
      </w:pPr>
    </w:p>
    <w:p w14:paraId="1ACFF16F">
      <w:pPr>
        <w:widowControl/>
        <w:rPr>
          <w:sz w:val="12"/>
          <w:szCs w:val="12"/>
        </w:rPr>
      </w:pPr>
      <w:r>
        <w:br w:type="page"/>
      </w:r>
    </w:p>
    <w:p w14:paraId="366DF71B">
      <w:pPr>
        <w:pStyle w:val="47"/>
      </w:pPr>
      <w:bookmarkStart w:id="12" w:name="_Toc3159"/>
      <w:r>
        <w:t>第三章 AI 如何“看见”品牌</w:t>
      </w:r>
      <w:bookmarkEnd w:id="12"/>
    </w:p>
    <w:p w14:paraId="33ADA119">
      <w:pPr>
        <w:pStyle w:val="48"/>
      </w:pPr>
      <w:bookmarkStart w:id="13" w:name="_Toc19758"/>
      <w:r>
        <w:t>3.1 生成式引擎并非“更聪明的搜索”</w:t>
      </w:r>
      <w:bookmarkEnd w:id="13"/>
    </w:p>
    <w:p w14:paraId="270A1134">
      <w:pPr>
        <w:pStyle w:val="39"/>
      </w:pPr>
      <w:r>
        <w:t>在搜索引擎时代，系统的主要职责是“把相关网页排序后交给用户选择”。因此，品牌竞争的重点集中在排名与点击：排名越靠前，获得访问与转化的机会越大。生成式引擎的工作方式与此不同。它在面对用户问题时，目标并不是提供一份链接清单，而是给出一个相对完整、逻辑连贯、看起来可信且可执行的答案。在这个过程中，系统必须完成一系列判断：用户真正想解决的是什么问题，哪些信息可以作为可信依据，应该如何组织这些依据才能形成结论。也正因为生成式引擎承担了“合成与判断”的角色，品牌的可见性不再主要取决于是否出现在某个列表位置，而取决于是否进入了系统构建答案所使用的证据材料之中。</w:t>
      </w:r>
    </w:p>
    <w:p w14:paraId="4842B88E">
      <w:pPr>
        <w:pStyle w:val="39"/>
      </w:pPr>
      <w:r>
        <w:t>认知可见性：AI时代企业生存的底层逻辑。在探讨机制前，我们需要意识到“被 AI 看见”背后的商业量级，过去你漏掉一个点击，只是损失一个访客；现在如果你在 AI 生成的“综合结论”中缺席，你损失的是整个品类的认知主权。AI 不再是给用户“一堆选项”，而是直接给“一个结果”。</w:t>
      </w:r>
    </w:p>
    <w:p w14:paraId="42AEF00F">
      <w:pPr>
        <w:pStyle w:val="39"/>
      </w:pPr>
      <w:r>
        <w:t>从品牌视角看，这意味着一个更现实的变化：很多用户在看到链接之前就已经获得结论并形成倾向，品牌如果无法进入答案生成环节，往往不是“排在后面”，而是“没有被纳入候选”。因此，要讨论 GEO 的方法与路径，必须先理解生成式引擎在“看见与采用信息”时到底依赖什么机制与规则。</w:t>
      </w:r>
    </w:p>
    <w:p w14:paraId="4C3C4C6F">
      <w:pPr>
        <w:pStyle w:val="33"/>
        <w:spacing w:after="60"/>
      </w:pPr>
    </w:p>
    <w:p w14:paraId="404D2820">
      <w:pPr>
        <w:pStyle w:val="48"/>
      </w:pPr>
      <w:bookmarkStart w:id="14" w:name="_Toc27121"/>
      <w:r>
        <w:t>3.2 认知来源：长期认知、行为边界与即时证据</w:t>
      </w:r>
      <w:bookmarkEnd w:id="14"/>
    </w:p>
    <w:p w14:paraId="6B091962">
      <w:pPr>
        <w:pStyle w:val="39"/>
      </w:pPr>
      <w:r>
        <w:t>生成式模型对品牌与世界的“理解”并非来自单一来源，通常可以概括为三类互补机制。第一类是预训练形成的长期认知，即模型在训练阶段接触到的大量公共文本内容所沉淀的背景知识。这部分知识覆盖面广、权重较高，往往决定了模型对行业与品牌的基本印象，但更新速度相对较慢。第二类是对齐与微调形成的行为边界，即模型在上线前后通过偏好对齐、安全规范与平台策略等方式形成的回答倾向，它并不直接决定“知道什么”，但会影响“怎么说、是否建议、在什么场景下更谨慎”。第三类是检索增强生成（RAG）等机制带来的即时证据，即模型在回答具体问题时，会从外部知识库或互联网内容中检索相关材料，并在有限的证据片段基础上生成回答，从而补足时效性与事实性。</w:t>
      </w:r>
    </w:p>
    <w:p w14:paraId="571FA290">
      <w:pPr>
        <w:pStyle w:val="39"/>
      </w:pPr>
      <w:r>
        <w:t>对多数品牌而言，短期内最可操作的环节通常集中在第三类，即通过更可被检索、更可信、更结构化的内容供给，提升自身在检索与证据筛选阶段被纳入的概率。与此同时，也需要认识到长期认知与行为边界的影响：如果品牌长期缺乏权威、稳定的公共信息沉淀，或在某些敏感领域被系统性降权，单次内容优化往往难以带来稳定效果。因此，GEO 的策略通常应同时覆盖“短期可见”与“长期认知”两条线，并通过持续的证据建设逐步提升被引用的稳定性。</w:t>
      </w:r>
    </w:p>
    <w:p w14:paraId="73AC3F9B">
      <w:pPr>
        <w:pStyle w:val="39"/>
      </w:pPr>
      <w:r>
        <w:rPr>
          <w:rStyle w:val="54"/>
        </w:rPr>
        <w:t>即时证据的准入证：DSS 原则</w:t>
      </w:r>
      <w:r>
        <w:t xml:space="preserve"> “即时证据”，这是 AI 决定是否采纳内容的核心标准：</w:t>
      </w:r>
    </w:p>
    <w:p w14:paraId="32112096">
      <w:pPr>
        <w:pStyle w:val="42"/>
        <w:numPr>
          <w:ilvl w:val="0"/>
          <w:numId w:val="1"/>
        </w:numPr>
      </w:pPr>
      <w:r>
        <w:rPr>
          <w:rStyle w:val="54"/>
        </w:rPr>
        <w:t>D - 数据支持（Data Support）</w:t>
      </w:r>
      <w:r>
        <w:t>：包含明确的事实依据、数据来源、图表逻辑的内容，在重排阶段会获得更高的“确定性评分”。</w:t>
      </w:r>
    </w:p>
    <w:p w14:paraId="561BD6F5">
      <w:pPr>
        <w:pStyle w:val="42"/>
        <w:numPr>
          <w:ilvl w:val="0"/>
          <w:numId w:val="1"/>
        </w:numPr>
      </w:pPr>
      <w:r>
        <w:rPr>
          <w:rStyle w:val="54"/>
        </w:rPr>
        <w:t>S - 语义深度（Semantic Depth）</w:t>
      </w:r>
      <w:r>
        <w:t>：AI 不再喜欢空洞的形容词。你的内容必须具备结构清晰、观点鲜明、分析深入的特征，而非简单的关键词堆砌。</w:t>
      </w:r>
    </w:p>
    <w:p w14:paraId="05126540">
      <w:pPr>
        <w:pStyle w:val="42"/>
        <w:numPr>
          <w:ilvl w:val="0"/>
          <w:numId w:val="1"/>
        </w:numPr>
      </w:pPr>
      <w:r>
        <w:rPr>
          <w:rStyle w:val="54"/>
        </w:rPr>
        <w:t>S - 权威来源（Authoritative Source）</w:t>
      </w:r>
      <w:r>
        <w:t>：来自官网、行业白皮书、学术组织或高权重媒体的内容，拥有更高的“信任初始分”。在这一维度上，KNIT（可信知识网络）通过权威事实锚定与第三方验证，为品牌内容提供了极高的信任权重。</w:t>
      </w:r>
    </w:p>
    <w:p w14:paraId="2DC2FF79">
      <w:pPr>
        <w:pStyle w:val="48"/>
      </w:pPr>
      <w:bookmarkStart w:id="15" w:name="_Toc31679"/>
      <w:r>
        <w:t>3.3 工作流程：检索路由、召回、重排与生成</w:t>
      </w:r>
      <w:bookmarkEnd w:id="15"/>
    </w:p>
    <w:p w14:paraId="2CCF99C7">
      <w:pPr>
        <w:pStyle w:val="39"/>
      </w:pPr>
      <w:r>
        <w:t>在生成式引擎的实际工作流中，RAG 机制是决定品牌内容能否进入答案的重要环节。一个相对典型的流程可以拆解为四个阶段。首先是检索路由，即系统判断应当去哪些来源或知识库中寻找材料；这一阶段往往具有“入口效应”，因为系统不会对全网等量检索，而会优先选择其认为更可信、更高效的信源。若品牌内容主要存在于低权重、低可信或不在系统优先信源范围的平台中，即使内容本身质量较高，也可能在路由阶段就难以进入候选池。</w:t>
      </w:r>
    </w:p>
    <w:p w14:paraId="334B3272">
      <w:pPr>
        <w:pStyle w:val="39"/>
      </w:pPr>
      <w:r>
        <w:t>其次是候选召回，即系统依据关键词与语义相似度等方法，从目标信源中召回一批可能相关的文本片段；需要注意的是，系统召回的往往不是整篇文章，而是被切分后的内容块，因此内容结构是否清晰、段落是否具备独立表达能力，会直接影响召回与后续使用。</w:t>
      </w:r>
    </w:p>
    <w:p w14:paraId="66DB205F">
      <w:pPr>
        <w:pStyle w:val="39"/>
      </w:pPr>
      <w:r>
        <w:t>第三阶段是重排，即系统对召回的候选片段进行更精细的打分排序，并选取少量高分片段作为最终证据输入。这一阶段通常是决定性环节，因为生成式引擎最终会在极少数片段基础上构建答案，未进入 Top-K 的内容在当次回答中基本等同于不存在。重排阶段常见的评估维度包括相关性、信息密度、表达清晰度、来源可信度、事实一致性等。</w:t>
      </w:r>
    </w:p>
    <w:p w14:paraId="7F75B7FF">
      <w:pPr>
        <w:pStyle w:val="39"/>
      </w:pPr>
      <w:r>
        <w:t>第四阶段是生成，即模型基于保留下来的证据片段进行内容整合与表达，形成最终答案。由于生成过程会对不同来源信息进行综合重写，品牌在答案中呈现的方式未必等同于原文表达，因此品牌需要更关注“核心信息是否被采纳、关键结论是否被保留”，而不仅是“是否出现原句或原文链接”。</w:t>
      </w:r>
    </w:p>
    <w:p w14:paraId="6220A985">
      <w:pPr>
        <w:pStyle w:val="33"/>
        <w:spacing w:after="60"/>
        <w:jc w:val="center"/>
      </w:pPr>
    </w:p>
    <w:p w14:paraId="1A144523">
      <w:pPr>
        <w:pStyle w:val="48"/>
      </w:pPr>
      <w:bookmarkStart w:id="16" w:name="_Toc15427"/>
      <w:r>
        <w:t>3.4 为什么品牌内容会被“过滤”</w:t>
      </w:r>
      <w:bookmarkEnd w:id="16"/>
    </w:p>
    <w:p w14:paraId="16ACFFD2">
      <w:pPr>
        <w:pStyle w:val="39"/>
      </w:pPr>
      <w:r>
        <w:t>在传统传播语境中，品牌内容往往强调叙事、情绪与调性，这并无问题，但在生成式引擎的证据筛选中，内容是否“可用”更重要。重排器通常不偏好空泛的形容词堆叠或缺少事实支撑的自我评价，因为这些内容难以作为可靠依据支撑结论，也容易引入不确定性。相反，结构清晰、结论明确、边界清楚、信息密度较高且可以被外部验证的内容，更容易在重排阶段获得高分，从而进入证据集合。这也解释了为什么在生成式环境中，许多品牌会出现“明明做了大量内容，但在答案中依然不稳定出现”的情况：问题并不一定在于内容数量不足，而在于内容缺少可被系统采纳的“证据属性”。</w:t>
      </w:r>
    </w:p>
    <w:p w14:paraId="05DEE64C">
      <w:pPr>
        <w:pStyle w:val="39"/>
      </w:pPr>
      <w:r>
        <w:rPr>
          <w:rStyle w:val="54"/>
        </w:rPr>
        <w:t>去伪存真</w:t>
      </w:r>
      <w:r>
        <w:t>：AI 在执行检索增强生成（RAG）时，其重排器（Reranker）正变得越来越敏感。如果品牌内容被检测到具有“同质化分发”特征，或引用的信源属于行业“虚假内容黑名单”，系统会采取惩罚性降权。</w:t>
      </w:r>
    </w:p>
    <w:p w14:paraId="53359E44">
      <w:pPr>
        <w:pStyle w:val="39"/>
      </w:pPr>
      <w:r>
        <w:rPr>
          <w:rStyle w:val="54"/>
        </w:rPr>
        <w:t>权威性的存证</w:t>
      </w:r>
      <w:r>
        <w:t>：品牌必须意识到，AI 抓取后的链接是溯源的唯一窗口。只有源自真实权威机构、具备可核验链路的内容，才能在“假报告”、“假榜单”泛滥的竞争环境中守住认知主权。缺乏第三方背书或可核验案例的内容，在处理高决策价值（如金融、医疗、法律）问题时，几乎无法进入答案。</w:t>
      </w:r>
    </w:p>
    <w:p w14:paraId="4B057A6F">
      <w:pPr>
        <w:pStyle w:val="39"/>
      </w:pPr>
      <w:r>
        <w:rPr>
          <w:rStyle w:val="54"/>
        </w:rPr>
        <w:t>口径分裂的风险</w:t>
      </w:r>
      <w:r>
        <w:t>：如果品牌在不同渠道表达的卖点、数据不一致，AI 会因为无法判断真伪而采取“保守策略”——直接不引用。</w:t>
      </w:r>
    </w:p>
    <w:p w14:paraId="2C36C519">
      <w:pPr>
        <w:pStyle w:val="39"/>
      </w:pPr>
      <w:r>
        <w:t>因此，</w:t>
      </w:r>
      <w:r>
        <w:rPr>
          <w:rFonts w:hint="eastAsia"/>
          <w:lang w:val="en-US" w:eastAsia="zh-CN"/>
        </w:rPr>
        <w:t>生成式</w:t>
      </w:r>
      <w:r>
        <w:t>内容策略需要从“面向人类读者的表达”适度转向“面向系统的可用信息供给”。</w:t>
      </w:r>
    </w:p>
    <w:p w14:paraId="4C342294">
      <w:pPr>
        <w:widowControl/>
        <w:rPr>
          <w:sz w:val="12"/>
          <w:szCs w:val="12"/>
        </w:rPr>
      </w:pPr>
      <w:r>
        <w:br w:type="page"/>
      </w:r>
    </w:p>
    <w:p w14:paraId="071F6115">
      <w:pPr>
        <w:pStyle w:val="47"/>
        <w:rPr>
          <w:rFonts w:hint="eastAsia" w:ascii="等线" w:hAnsi="等线" w:eastAsia="等线" w:cs="等线"/>
          <w:sz w:val="40"/>
          <w:szCs w:val="40"/>
        </w:rPr>
      </w:pPr>
      <w:bookmarkStart w:id="17" w:name="_Toc20058"/>
      <w:r>
        <w:t xml:space="preserve">第四章 </w:t>
      </w:r>
      <w:r>
        <w:rPr>
          <w:rFonts w:hint="eastAsia" w:ascii="等线" w:hAnsi="等线" w:eastAsia="等线" w:cs="等线"/>
          <w:sz w:val="32"/>
          <w:szCs w:val="32"/>
        </w:rPr>
        <w:t>中国 AI 品牌资产行业现状：从概念热潮走向规则收敛</w:t>
      </w:r>
      <w:bookmarkEnd w:id="17"/>
    </w:p>
    <w:p w14:paraId="6B17C1F1">
      <w:pPr>
        <w:pStyle w:val="3"/>
        <w:keepNext w:val="0"/>
        <w:keepLines w:val="0"/>
        <w:widowControl/>
        <w:suppressLineNumbers w:val="0"/>
        <w:rPr>
          <w:color w:val="auto"/>
        </w:rPr>
      </w:pPr>
      <w:bookmarkStart w:id="18" w:name="_Toc15577"/>
      <w:r>
        <w:rPr>
          <w:color w:val="auto"/>
        </w:rPr>
        <w:t>4.1 行业所处阶段：高增长与前标准期并存</w:t>
      </w:r>
      <w:bookmarkEnd w:id="18"/>
    </w:p>
    <w:p w14:paraId="468A4C8F">
      <w:pPr>
        <w:pStyle w:val="22"/>
        <w:keepNext w:val="0"/>
        <w:keepLines w:val="0"/>
        <w:widowControl/>
        <w:suppressLineNumbers w:val="0"/>
      </w:pPr>
      <w:r>
        <w:t xml:space="preserve">中国 AI 品牌资产相关服务市场，正处于从“概念导入”迈向“规模化应用”的关键阶段。一方面，生成式人工智能已经深刻改变用户获取信息、比较品牌和形成初步判断的路径，企业对“品牌能否被 AI 正确理解、稳定表达、合理引用”的重视程度快速上升；另一方面，行业整体仍处在方法、口径、评价和边界尚未完全统一的前标准期。也就是说，市场需求正在迅速增长，但行业语言、服务边界与评价体系仍然处于快速形成之中。原稿第四章第一节本来就把这一阶段概括为“爆发式增长与前标准期的交织”，这个判断仍然成立，只是需要把“增长热度”与“规则收敛”并置表达，而不是单独放大机会。 </w:t>
      </w:r>
    </w:p>
    <w:p w14:paraId="397573C0">
      <w:pPr>
        <w:pStyle w:val="22"/>
        <w:keepNext w:val="0"/>
        <w:keepLines w:val="0"/>
        <w:widowControl/>
        <w:suppressLineNumbers w:val="0"/>
      </w:pPr>
      <w:r>
        <w:t>这一阶段最突出的特征，不是单一技术概念的流行，而是品牌建设对象发生了迁移。过去企业更关注搜索、媒介和流量入口；而今天，越来越多企业开始意识到，品牌在 AI 场景中的缺席、误读、错引与口径分裂，已经会直接影响用户的候选集合、比较顺序与风险判断。换言之，行业的增长并不只是因为“新概念带来新预算”，而是因为企业首次需要系统面对“AI 如何看见我、理解我、表达我”的问题。</w:t>
      </w:r>
    </w:p>
    <w:p w14:paraId="59DC29E2">
      <w:pPr>
        <w:pStyle w:val="22"/>
        <w:keepNext w:val="0"/>
        <w:keepLines w:val="0"/>
        <w:widowControl/>
        <w:suppressLineNumbers w:val="0"/>
      </w:pPr>
      <w:r>
        <w:t>从这个意义上讲，当前行业的核心矛盾并不是“有没有市场”，而是“市场会以什么规则成熟”。如果没有更清晰的原则边界、评估框架与行业自律，AI 品牌资产建设就很容易被误读为“争夺偏好”“操纵结果”或“生成式时代的灰色优化”。因此，前标准期并不只是行业的早期红利阶段，同时也是定义行业边界、收敛行业语言、建立行业共识的关键窗口。</w:t>
      </w:r>
    </w:p>
    <w:p w14:paraId="6E3FB956">
      <w:pPr>
        <w:pStyle w:val="39"/>
      </w:pPr>
      <w:r>
        <w:t>2025 年被公认为“GEO 元年”，而 2026 年则正式开启了商业化全面爆发的征程。当前，市场呈现出极高的增长热度，但与之相对的是，行业仍处于缺乏统一度量衡的“前标准期”。</w:t>
      </w:r>
    </w:p>
    <w:p w14:paraId="1DB60A36">
      <w:pPr>
        <w:pStyle w:val="39"/>
      </w:pPr>
      <w:r>
        <w:t>市场规模：</w:t>
      </w:r>
    </w:p>
    <w:p w14:paraId="6BB277BB">
      <w:pPr>
        <w:pStyle w:val="42"/>
        <w:numPr>
          <w:ilvl w:val="0"/>
          <w:numId w:val="1"/>
        </w:numPr>
      </w:pPr>
      <w:r>
        <w:rPr>
          <w:rStyle w:val="54"/>
        </w:rPr>
        <w:t>核心服务市场</w:t>
      </w:r>
      <w:r>
        <w:t>：</w:t>
      </w:r>
      <w:r>
        <w:rPr>
          <w:rFonts w:hint="eastAsia"/>
        </w:rPr>
        <w:t>根据头豹研究院</w:t>
      </w:r>
      <w:r>
        <w:t xml:space="preserve">，中国 </w:t>
      </w:r>
      <w:r>
        <w:rPr>
          <w:rFonts w:hint="eastAsia"/>
          <w:lang w:val="en-US" w:eastAsia="zh-CN"/>
        </w:rPr>
        <w:t>AIPE</w:t>
      </w:r>
      <w:r>
        <w:t>市场规模在 2025 年达到 57 亿元，2026 年将跃升至 137 亿元。这一口径主要聚焦于专业的语义资产治理与 AI 搜索占位服务。</w:t>
      </w:r>
    </w:p>
    <w:p w14:paraId="38A83107">
      <w:pPr>
        <w:pStyle w:val="42"/>
        <w:numPr>
          <w:ilvl w:val="0"/>
          <w:numId w:val="1"/>
        </w:numPr>
      </w:pPr>
      <w:r>
        <w:rPr>
          <w:rStyle w:val="54"/>
        </w:rPr>
        <w:t>全球视野</w:t>
      </w:r>
      <w:r>
        <w:t xml:space="preserve">：随着生成式 AI 深度切入营销底层逻辑，全球 </w:t>
      </w:r>
      <w:r>
        <w:rPr>
          <w:rFonts w:hint="eastAsia"/>
          <w:lang w:val="en-US" w:eastAsia="zh-CN"/>
        </w:rPr>
        <w:t>AIPE</w:t>
      </w:r>
      <w:r>
        <w:t>市场潜力巨大，预计 203</w:t>
      </w:r>
      <w:r>
        <w:rPr>
          <w:rFonts w:hint="eastAsia"/>
        </w:rPr>
        <w:t xml:space="preserve">0 </w:t>
      </w:r>
      <w:r>
        <w:t xml:space="preserve">年将突破 </w:t>
      </w:r>
      <w:r>
        <w:rPr>
          <w:rFonts w:hint="eastAsia"/>
        </w:rPr>
        <w:t>5</w:t>
      </w:r>
      <w:r>
        <w:t>,</w:t>
      </w:r>
      <w:r>
        <w:rPr>
          <w:rFonts w:hint="eastAsia"/>
        </w:rPr>
        <w:t>122</w:t>
      </w:r>
      <w:r>
        <w:t xml:space="preserve"> 亿元人民币。</w:t>
      </w:r>
    </w:p>
    <w:p w14:paraId="276DA932">
      <w:pPr>
        <w:pStyle w:val="33"/>
        <w:spacing w:after="60"/>
      </w:pPr>
    </w:p>
    <w:p w14:paraId="350099DD">
      <w:pPr>
        <w:pStyle w:val="39"/>
      </w:pPr>
      <w:r>
        <w:t>具体数值的增长反映了</w:t>
      </w:r>
      <w:r>
        <w:rPr>
          <w:rFonts w:hint="eastAsia"/>
          <w:lang w:val="en-US" w:eastAsia="zh-CN"/>
        </w:rPr>
        <w:t>AIPE</w:t>
      </w:r>
      <w:r>
        <w:t>边界的动态演进。</w:t>
      </w:r>
      <w:r>
        <w:rPr>
          <w:rFonts w:hint="eastAsia"/>
        </w:rPr>
        <w:t>短期内千亿级</w:t>
      </w:r>
      <w:r>
        <w:t>的市场空间揭示了品牌在“认知主权”争夺战中投入的增量空间。对品牌方而言，捕捉趋势远比纠结绝对数值更具决策意义。</w:t>
      </w:r>
    </w:p>
    <w:p w14:paraId="4929B284">
      <w:pPr>
        <w:pStyle w:val="39"/>
      </w:pPr>
    </w:p>
    <w:p w14:paraId="03C9EA65">
      <w:pPr>
        <w:pStyle w:val="39"/>
      </w:pPr>
    </w:p>
    <w:p w14:paraId="731B7DB0">
      <w:pPr>
        <w:pStyle w:val="9"/>
        <w:jc w:val="center"/>
      </w:pPr>
      <w:r>
        <w:rPr>
          <w:rFonts w:hint="eastAsia"/>
        </w:rPr>
        <w:t xml:space="preserve">图表 </w:t>
      </w:r>
      <w:r>
        <w:fldChar w:fldCharType="begin"/>
      </w:r>
      <w:r>
        <w:instrText xml:space="preserve"> </w:instrText>
      </w:r>
      <w:r>
        <w:rPr>
          <w:rFonts w:hint="eastAsia"/>
        </w:rPr>
        <w:instrText xml:space="preserve">SEQ 图表 \* ARABIC</w:instrText>
      </w:r>
      <w:r>
        <w:instrText xml:space="preserve"> </w:instrText>
      </w:r>
      <w:r>
        <w:fldChar w:fldCharType="separate"/>
      </w:r>
      <w:r>
        <w:t>3</w:t>
      </w:r>
      <w:r>
        <w:fldChar w:fldCharType="end"/>
      </w:r>
      <w:r>
        <w:rPr>
          <w:rFonts w:hint="eastAsia"/>
          <w:lang w:val="en-US" w:eastAsia="zh-CN"/>
        </w:rPr>
        <w:t>AIPE</w:t>
      </w:r>
      <w:r>
        <w:t xml:space="preserve"> 市场规模预测，20</w:t>
      </w:r>
      <w:r>
        <w:rPr>
          <w:rFonts w:hint="eastAsia"/>
        </w:rPr>
        <w:t>24</w:t>
      </w:r>
      <w:r>
        <w:t>-2</w:t>
      </w:r>
      <w:r>
        <w:rPr>
          <w:rFonts w:hint="eastAsia"/>
        </w:rPr>
        <w:t>030E</w:t>
      </w:r>
    </w:p>
    <w:p w14:paraId="00B1B0F1">
      <w:pPr>
        <w:pStyle w:val="39"/>
        <w:jc w:val="center"/>
      </w:pPr>
      <w:r>
        <w:drawing>
          <wp:inline distT="0" distB="0" distL="0" distR="0">
            <wp:extent cx="5731510" cy="3649980"/>
            <wp:effectExtent l="0" t="0" r="0" b="0"/>
            <wp:docPr id="17243540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4007" name="图片 1"/>
                    <pic:cNvPicPr>
                      <a:picLocks noChangeAspect="1"/>
                    </pic:cNvPicPr>
                  </pic:nvPicPr>
                  <pic:blipFill>
                    <a:blip r:embed="rId8"/>
                    <a:stretch>
                      <a:fillRect/>
                    </a:stretch>
                  </pic:blipFill>
                  <pic:spPr>
                    <a:xfrm>
                      <a:off x="0" y="0"/>
                      <a:ext cx="5731510" cy="3649980"/>
                    </a:xfrm>
                    <a:prstGeom prst="rect">
                      <a:avLst/>
                    </a:prstGeom>
                  </pic:spPr>
                </pic:pic>
              </a:graphicData>
            </a:graphic>
          </wp:inline>
        </w:drawing>
      </w:r>
    </w:p>
    <w:p w14:paraId="3BDDC586">
      <w:pPr>
        <w:pStyle w:val="33"/>
        <w:spacing w:after="60"/>
      </w:pPr>
    </w:p>
    <w:p w14:paraId="45EF7375">
      <w:pPr>
        <w:pStyle w:val="48"/>
      </w:pPr>
      <w:bookmarkStart w:id="19" w:name="_Toc25603"/>
      <w:r>
        <w:t>4.2 当下行业乱象：虚假信息、套用旧方法与不可验证承诺</w:t>
      </w:r>
      <w:bookmarkEnd w:id="19"/>
    </w:p>
    <w:p w14:paraId="0E2D2347">
      <w:pPr>
        <w:pStyle w:val="39"/>
      </w:pPr>
      <w:r>
        <w:t>当下行业发展迅速，也滋生出多种乱象，并已受到新华社报道和关注</w:t>
      </w:r>
      <w:r>
        <w:rPr>
          <w:rFonts w:hint="eastAsia"/>
          <w:lang w:eastAsia="zh-CN"/>
        </w:rPr>
        <w:t>，</w:t>
      </w:r>
      <w:r>
        <w:rPr>
          <w:rFonts w:hint="eastAsia"/>
          <w:lang w:val="en-US" w:eastAsia="zh-CN"/>
        </w:rPr>
        <w:t>刚刚发布的3.15晚会上更是专门报道用AI制造散布虚假信息</w:t>
      </w:r>
      <w:r>
        <w:t>。例如，黑帽化倾向与信息污染，包括伪造第三方背书、编造对比结论、站群堆砌“伪权威内容”、通过低质量内容注入影响检索候选等。</w:t>
      </w:r>
    </w:p>
    <w:p w14:paraId="74AF111D">
      <w:pPr>
        <w:pStyle w:val="39"/>
      </w:pPr>
      <w:r>
        <w:rPr>
          <w:rStyle w:val="54"/>
        </w:rPr>
        <w:t>数据污染与“雷同资料”陷阱</w:t>
      </w:r>
      <w:r>
        <w:t>：当前市场出现大量低端服务商，通过海量投放同质化、劣质化的“软文”，试图在 AI 面前堆砌虚假事实。这种行为本质上是“数据污染”，不仅损害了大语言模型的资料索引质量，更由于其“概率性”抓取的特征，导致品牌面临随时被系统过滤或降权的安全隐患。</w:t>
      </w:r>
    </w:p>
    <w:p w14:paraId="7B3079D2">
      <w:pPr>
        <w:pStyle w:val="39"/>
      </w:pPr>
      <w:r>
        <w:rPr>
          <w:rStyle w:val="54"/>
        </w:rPr>
        <w:t>虚假权威与身份欺诈</w:t>
      </w:r>
      <w:r>
        <w:t>：乱象已从简单的关键词堆砌升级为对“信源”的系统性编造。包括：编造假报告、塑造假专家。这类行为在生成式环境中的风险显著高于传统搜索环境。</w:t>
      </w:r>
    </w:p>
    <w:p w14:paraId="38E0B829">
      <w:pPr>
        <w:pStyle w:val="39"/>
        <w:rPr>
          <w:rFonts w:hint="eastAsia" w:ascii="等线" w:hAnsi="等线" w:eastAsia="等线" w:cs="等线"/>
          <w:sz w:val="24"/>
          <w:szCs w:val="24"/>
        </w:rPr>
      </w:pPr>
      <w:r>
        <w:rPr>
          <w:rFonts w:hint="eastAsia" w:ascii="等线" w:hAnsi="等线" w:eastAsia="等线" w:cs="等线"/>
          <w:sz w:val="24"/>
          <w:szCs w:val="24"/>
        </w:rPr>
        <w:t>是</w:t>
      </w:r>
      <w:r>
        <w:rPr>
          <w:rStyle w:val="26"/>
          <w:rFonts w:hint="eastAsia" w:ascii="等线" w:hAnsi="等线" w:eastAsia="等线" w:cs="等线"/>
          <w:b w:val="0"/>
          <w:bCs/>
          <w:sz w:val="24"/>
          <w:szCs w:val="24"/>
        </w:rPr>
        <w:t>不可验证承诺过多，而方法透明度不足</w:t>
      </w:r>
      <w:r>
        <w:rPr>
          <w:rFonts w:hint="eastAsia" w:ascii="等线" w:hAnsi="等线" w:eastAsia="等线" w:cs="等线"/>
          <w:sz w:val="24"/>
          <w:szCs w:val="24"/>
        </w:rPr>
        <w:t>。一些市场表达习惯于把服务价值概括为“包推荐”“包引用”“快速起量”“形成占位”等结果性说法，但在 AI 时代，这类承诺既难以被科学验证，也容易将品牌引向短期动作而非长期建设。品牌真正需要的不是不可复盘的“结果展示”，而是可解释、可追踪、可审计的方法链路：问题集怎么定义、答案资产如何建设、引用资产是否可信、口径是否统一、风险表达如何修复、评估结果如何留痕。这也是为什么 AIBV 这类评估体系必须同时强调可解释性、可复现性与防操纵性。</w:t>
      </w:r>
    </w:p>
    <w:p w14:paraId="1AF4A0D0">
      <w:pPr>
        <w:pStyle w:val="39"/>
        <w:rPr>
          <w:rFonts w:hint="eastAsia" w:ascii="等线" w:hAnsi="等线" w:eastAsia="等线" w:cs="等线"/>
          <w:sz w:val="24"/>
          <w:szCs w:val="24"/>
        </w:rPr>
      </w:pPr>
      <w:r>
        <w:t>针对此类乱象，KNIT（可信知识网络）提出了“认知巩固”与“持续监测”的治理方案。通过六层结构化工程，KNIT能够有效识别并过滤虚假信源，确保企业关键事实转化为长期可调用、可累积的可信数字资产，从而在根本上规避数据投毒与认知稀释风险。</w:t>
      </w:r>
    </w:p>
    <w:p w14:paraId="5CF152BA">
      <w:pPr>
        <w:pStyle w:val="39"/>
      </w:pPr>
    </w:p>
    <w:p w14:paraId="76624D68">
      <w:pPr>
        <w:pStyle w:val="3"/>
        <w:keepNext w:val="0"/>
        <w:keepLines w:val="0"/>
        <w:widowControl/>
        <w:suppressLineNumbers w:val="0"/>
        <w:rPr>
          <w:rFonts w:hint="eastAsia" w:ascii="等线" w:hAnsi="等线" w:eastAsia="等线" w:cs="等线"/>
          <w:b/>
          <w:bCs/>
          <w:color w:val="auto"/>
        </w:rPr>
      </w:pPr>
      <w:bookmarkStart w:id="20" w:name="_Toc13252"/>
      <w:r>
        <w:rPr>
          <w:rFonts w:hint="eastAsia" w:ascii="等线" w:hAnsi="等线" w:eastAsia="等线" w:cs="等线"/>
          <w:b/>
          <w:bCs/>
          <w:color w:val="auto"/>
        </w:rPr>
        <w:t>4.3 行业正在从机会叙事转向原则表达</w:t>
      </w:r>
      <w:bookmarkEnd w:id="20"/>
    </w:p>
    <w:p w14:paraId="75AD272E">
      <w:pPr>
        <w:pStyle w:val="22"/>
        <w:keepNext w:val="0"/>
        <w:keepLines w:val="0"/>
        <w:widowControl/>
        <w:suppressLineNumbers w:val="0"/>
      </w:pPr>
      <w:r>
        <w:t>随着行业讨论进入更高关注阶段，AI 品牌资产相关实践正在发生一个重要变化：过去市场更习惯于把它描述为一类“增长机会”或“新增量入口”，但未来更有生命力的表达，将是“行业原则”“评估语言”和“建设边界”。也就是说，行业的成熟，不是继续放大热度，而是开始形成一套能够区分建设性工作与破坏性行为的共同标准。</w:t>
      </w:r>
    </w:p>
    <w:p w14:paraId="6259AA40">
      <w:pPr>
        <w:pStyle w:val="22"/>
        <w:keepNext w:val="0"/>
        <w:keepLines w:val="0"/>
        <w:widowControl/>
        <w:suppressLineNumbers w:val="0"/>
      </w:pPr>
      <w:r>
        <w:t>这一变化并不意味着行业空间缩小，恰恰相反，它意味着行业开始进入可持续阶段。只有当市场不再鼓励通过概念模糊、话术夸张和方法黑箱来争夺客户，而转向围绕真实性、准确性、可验证性、可追溯性和合规透明度进行竞争时，AI 品牌资产建设才会从“热点型服务”沉淀为“基础设施型能力”。</w:t>
      </w:r>
    </w:p>
    <w:p w14:paraId="108D73D2">
      <w:pPr>
        <w:pStyle w:val="22"/>
        <w:keepNext w:val="0"/>
        <w:keepLines w:val="0"/>
        <w:widowControl/>
        <w:suppressLineNumbers w:val="0"/>
      </w:pPr>
      <w:r>
        <w:t>因此，本白皮书建议将行业的共同需求概括为三点：其一，需要一套能够解释“什么是正当建设、什么是风险行为”的原则语言；其二，需要一套能够衡量品牌在 AI 中表现、建设能力与风险状态的评估体系；其三，需要一套能够帮助企业识别误读、错引、风险化表达和可信度缺口的治理框架。原稿第四章第三、四节本来就在谈“标准化是品牌、平台与行业的共同需求”和“标准化的现实路径”，新版只需要把这两节从偏行业判断，升级为更明确的“前标准表达”。</w:t>
      </w:r>
    </w:p>
    <w:p w14:paraId="4C282683">
      <w:pPr>
        <w:spacing w:before="120" w:after="120" w:line="288" w:lineRule="auto"/>
        <w:rPr>
          <w:rFonts w:ascii="等线" w:hAnsi="等线" w:eastAsia="等线"/>
        </w:rPr>
      </w:pPr>
    </w:p>
    <w:p w14:paraId="3B5A551E">
      <w:pPr>
        <w:pStyle w:val="48"/>
      </w:pPr>
      <w:bookmarkStart w:id="21" w:name="_Toc223693309"/>
      <w:bookmarkStart w:id="22" w:name="heading_46"/>
      <w:bookmarkStart w:id="23" w:name="_Toc23859"/>
      <w:r>
        <w:rPr>
          <w:rFonts w:hint="eastAsia"/>
        </w:rPr>
        <w:t>4</w:t>
      </w:r>
      <w:r>
        <w:t>.4 标准化的现实路径：平台隐性规则、机构口径统一与品牌方审计倒逼</w:t>
      </w:r>
      <w:bookmarkEnd w:id="21"/>
      <w:bookmarkEnd w:id="22"/>
      <w:bookmarkEnd w:id="23"/>
    </w:p>
    <w:p w14:paraId="13803E76">
      <w:pPr>
        <w:spacing w:before="120" w:after="120" w:line="288" w:lineRule="auto"/>
      </w:pPr>
      <w:r>
        <w:rPr>
          <w:rFonts w:ascii="Arial" w:hAnsi="Arial" w:eastAsia="等线" w:cs="Arial"/>
        </w:rPr>
        <w:t>在中国市场，标准化往往不会以单一文件或统一条例突然落地，而更可能通过三种力量的叠加推进。第一种力量来自平台的隐性规则与算法偏好调整。平台通常不会公开披露完整机制，但会通过提高权威来源权重、降低低信息密度内容的可见性、强化实体识别与一致性判断等方式，逐步建立“什么内容更可能被采用”的事实标准。第二种力量来自</w:t>
      </w:r>
      <w:r>
        <w:rPr>
          <w:rFonts w:hint="eastAsia" w:ascii="Arial" w:hAnsi="Arial" w:eastAsia="等线" w:cs="Arial"/>
        </w:rPr>
        <w:t>管理机关</w:t>
      </w:r>
      <w:r>
        <w:rPr>
          <w:rFonts w:ascii="Arial" w:hAnsi="Arial" w:eastAsia="等线" w:cs="Arial"/>
        </w:rPr>
        <w:t>与行业组织的</w:t>
      </w:r>
      <w:r>
        <w:rPr>
          <w:rFonts w:hint="eastAsia" w:ascii="Arial" w:hAnsi="Arial" w:eastAsia="等线" w:cs="Arial"/>
        </w:rPr>
        <w:t>严格管理和</w:t>
      </w:r>
      <w:r>
        <w:rPr>
          <w:rFonts w:ascii="Arial" w:hAnsi="Arial" w:eastAsia="等线" w:cs="Arial"/>
        </w:rPr>
        <w:t>口径统一，包括对</w:t>
      </w:r>
      <w:r>
        <w:rPr>
          <w:rFonts w:hint="eastAsia" w:ascii="Arial" w:hAnsi="Arial" w:eastAsia="等线" w:cs="Arial"/>
        </w:rPr>
        <w:t>虚假广告的打击，</w:t>
      </w:r>
      <w:r>
        <w:rPr>
          <w:rFonts w:ascii="Arial" w:hAnsi="Arial" w:eastAsia="等线" w:cs="Arial"/>
        </w:rPr>
        <w:t>SoA、引用率、一致性等指标的定义，问题集构建的方法规范，以及对证据型内容与第三方背书的质量要求。第三种力量来自品牌方的内部审计与复盘需求，当企业要求以固定问题集进行周期性测试、建立对照与留痕机制，并将</w:t>
      </w:r>
      <w:r>
        <w:rPr>
          <w:rFonts w:hint="eastAsia" w:ascii="Arial" w:hAnsi="Arial" w:eastAsia="等线" w:cs="Arial"/>
          <w:lang w:val="en-US" w:eastAsia="zh-CN"/>
        </w:rPr>
        <w:t>AIBV</w:t>
      </w:r>
      <w:r>
        <w:rPr>
          <w:rFonts w:ascii="Arial" w:hAnsi="Arial" w:eastAsia="等线" w:cs="Arial"/>
        </w:rPr>
        <w:t>指标纳入增长与品牌资产管理后，服务供给侧将被迫以更工程化、可验证的方式交付。</w:t>
      </w:r>
    </w:p>
    <w:p w14:paraId="39E8F12F">
      <w:pPr>
        <w:spacing w:before="120" w:after="120" w:line="288" w:lineRule="auto"/>
        <w:rPr>
          <w:rFonts w:ascii="Arial" w:hAnsi="Arial" w:eastAsia="等线" w:cs="Arial"/>
        </w:rPr>
      </w:pPr>
      <w:r>
        <w:rPr>
          <w:rFonts w:ascii="Arial" w:hAnsi="Arial" w:eastAsia="等线" w:cs="Arial"/>
        </w:rPr>
        <w:t>随着三种力量持续作用，行业将逐步形成较为清晰的“评估体系—方法体系—治理体系”闭环，市场也会更快完成从混乱到收敛的过渡。</w:t>
      </w:r>
    </w:p>
    <w:p w14:paraId="38797A62">
      <w:pPr>
        <w:spacing w:before="120" w:after="120" w:line="288" w:lineRule="auto"/>
      </w:pPr>
    </w:p>
    <w:p w14:paraId="2758C111">
      <w:pPr>
        <w:pStyle w:val="48"/>
      </w:pPr>
      <w:bookmarkStart w:id="24" w:name="_Toc223693310"/>
      <w:bookmarkStart w:id="25" w:name="heading_47"/>
      <w:bookmarkStart w:id="26" w:name="_Toc7551"/>
      <w:r>
        <w:rPr>
          <w:rFonts w:hint="eastAsia"/>
        </w:rPr>
        <w:t>4</w:t>
      </w:r>
      <w:r>
        <w:t>.5 服务生态将分化：认知治理、工程交付与短期套利的边界</w:t>
      </w:r>
      <w:bookmarkEnd w:id="24"/>
      <w:bookmarkEnd w:id="25"/>
      <w:bookmarkEnd w:id="26"/>
    </w:p>
    <w:p w14:paraId="12F37D40">
      <w:pPr>
        <w:spacing w:before="120" w:after="120" w:line="288" w:lineRule="auto"/>
        <w:rPr>
          <w:rFonts w:ascii="Arial" w:hAnsi="Arial" w:eastAsia="等线" w:cs="Arial"/>
        </w:rPr>
      </w:pPr>
      <w:r>
        <w:rPr>
          <w:rFonts w:ascii="Arial" w:hAnsi="Arial" w:eastAsia="等线" w:cs="Arial"/>
        </w:rPr>
        <w:t>在标准化推进过程中，</w:t>
      </w:r>
      <w:r>
        <w:rPr>
          <w:rFonts w:hint="eastAsia" w:ascii="Arial" w:hAnsi="Arial" w:eastAsia="等线" w:cs="Arial"/>
          <w:lang w:val="en-US" w:eastAsia="zh-CN"/>
        </w:rPr>
        <w:t>AIPE</w:t>
      </w:r>
      <w:r>
        <w:rPr>
          <w:rFonts w:ascii="Arial" w:hAnsi="Arial" w:eastAsia="等线" w:cs="Arial"/>
        </w:rPr>
        <w:t>服务生态通常会出现更明确的分层。第一类是认知战略与治理型服务，即能够从语义定位、</w:t>
      </w:r>
      <w:r>
        <w:rPr>
          <w:rFonts w:hint="eastAsia" w:ascii="Arial" w:hAnsi="Arial" w:eastAsia="等线" w:cs="Arial"/>
        </w:rPr>
        <w:t>问题集</w:t>
      </w:r>
      <w:r>
        <w:rPr>
          <w:rFonts w:ascii="Arial" w:hAnsi="Arial" w:eastAsia="等线" w:cs="Arial"/>
        </w:rPr>
        <w:t>、证据链与指标体系出发，为品牌提供长期的 AIBE 管理方案。这类服务更接近“认知治理能力”，强调机制解释、口径统一与长期迭代，通常会与品牌的战略、品牌管理与数据部门形成更深协同。第二类是工程执行型服务，即围绕答案资产与引用资产的规模化生产、结构化改造、生态铺设与监测系统搭建提供交付，强调流程、效率与持续产出，能够成为品牌长期内容与知识资产建设的外部供应链。第三类是短期套利型供给，即以不可验证承诺、低质量堆量或黑帽博弈为主要手段的服务，这类供给在前标准期可能短期存在，但在平台治理加强与企业审计严格后将最先被清洗。</w:t>
      </w:r>
    </w:p>
    <w:p w14:paraId="2218AC16">
      <w:pPr>
        <w:spacing w:before="120" w:after="120" w:line="288" w:lineRule="auto"/>
        <w:rPr>
          <w:rFonts w:ascii="Arial" w:hAnsi="Arial" w:eastAsia="等线" w:cs="Arial"/>
        </w:rPr>
      </w:pPr>
      <w:r>
        <w:rPr>
          <w:rFonts w:ascii="Arial" w:hAnsi="Arial" w:eastAsia="等线" w:cs="Arial"/>
        </w:rPr>
        <w:t>对品牌方而言，理解这种分化十分重要，因为</w:t>
      </w:r>
      <w:r>
        <w:rPr>
          <w:rFonts w:hint="eastAsia" w:ascii="Arial" w:hAnsi="Arial" w:eastAsia="等线" w:cs="Arial"/>
          <w:lang w:val="en-US" w:eastAsia="zh-CN"/>
        </w:rPr>
        <w:t>AIPE</w:t>
      </w:r>
      <w:r>
        <w:rPr>
          <w:rFonts w:ascii="Arial" w:hAnsi="Arial" w:eastAsia="等线" w:cs="Arial"/>
        </w:rPr>
        <w:t>的风险并不仅在于“做得慢”，也在于“做错方向”。尤其在生成式环境下，信息污染与口径混乱可能带来长期信任权重受损，代价往往高于短期投入损失。</w:t>
      </w:r>
    </w:p>
    <w:p w14:paraId="278E856F">
      <w:pPr>
        <w:spacing w:before="120" w:after="120" w:line="288" w:lineRule="auto"/>
        <w:rPr>
          <w:b/>
          <w:bCs/>
        </w:rPr>
      </w:pPr>
    </w:p>
    <w:p w14:paraId="192697AC">
      <w:pPr>
        <w:pStyle w:val="3"/>
        <w:keepNext w:val="0"/>
        <w:keepLines w:val="0"/>
        <w:widowControl/>
        <w:suppressLineNumbers w:val="0"/>
        <w:rPr>
          <w:rFonts w:hint="eastAsia" w:ascii="等线" w:hAnsi="等线" w:eastAsia="等线" w:cs="等线"/>
          <w:b/>
          <w:bCs/>
          <w:color w:val="auto"/>
        </w:rPr>
      </w:pPr>
      <w:bookmarkStart w:id="27" w:name="_Toc21182"/>
      <w:r>
        <w:rPr>
          <w:rFonts w:hint="eastAsia" w:ascii="等线" w:hAnsi="等线" w:eastAsia="等线" w:cs="等线"/>
          <w:b/>
          <w:bCs/>
          <w:color w:val="auto"/>
        </w:rPr>
        <w:t>4.6 对品牌方的建议：优先选择“可解释、可验证、可审计”的合作模式</w:t>
      </w:r>
      <w:bookmarkEnd w:id="27"/>
    </w:p>
    <w:p w14:paraId="61C233BA">
      <w:pPr>
        <w:pStyle w:val="22"/>
        <w:keepNext w:val="0"/>
        <w:keepLines w:val="0"/>
        <w:widowControl/>
        <w:suppressLineNumbers w:val="0"/>
        <w:rPr>
          <w:rFonts w:hint="eastAsia" w:ascii="等线" w:hAnsi="等线" w:eastAsia="等线" w:cs="等线"/>
          <w:color w:val="auto"/>
        </w:rPr>
      </w:pPr>
      <w:r>
        <w:rPr>
          <w:rFonts w:hint="eastAsia" w:ascii="等线" w:hAnsi="等线" w:eastAsia="等线" w:cs="等线"/>
          <w:color w:val="auto"/>
        </w:rPr>
        <w:t>对品牌方而言，最值得警惕的，不是自己有没有做足够多的 AI 相关动作，而是是否一开始就选错了合作逻辑。AI 品牌资产建设并不是一个越神秘越高级的黑箱服务，相反，它越重要，就越应当具备清晰的方法路径、明确的边界说明与留痕机制。</w:t>
      </w:r>
    </w:p>
    <w:p w14:paraId="2DFE26E8">
      <w:pPr>
        <w:pStyle w:val="22"/>
        <w:keepNext w:val="0"/>
        <w:keepLines w:val="0"/>
        <w:widowControl/>
        <w:suppressLineNumbers w:val="0"/>
        <w:rPr>
          <w:rFonts w:hint="eastAsia" w:ascii="等线" w:hAnsi="等线" w:eastAsia="等线" w:cs="等线"/>
          <w:color w:val="auto"/>
        </w:rPr>
      </w:pPr>
      <w:r>
        <w:rPr>
          <w:rFonts w:hint="eastAsia" w:ascii="等线" w:hAnsi="等线" w:eastAsia="等线" w:cs="等线"/>
          <w:color w:val="auto"/>
        </w:rPr>
        <w:t>因此，本白皮书建议品牌在选择合作方时，至少优先关注三点。第一，</w:t>
      </w:r>
      <w:r>
        <w:rPr>
          <w:rStyle w:val="26"/>
          <w:rFonts w:hint="eastAsia" w:ascii="等线" w:hAnsi="等线" w:eastAsia="等线" w:cs="等线"/>
          <w:color w:val="auto"/>
        </w:rPr>
        <w:t>是否可解释</w:t>
      </w:r>
      <w:r>
        <w:rPr>
          <w:rFonts w:hint="eastAsia" w:ascii="等线" w:hAnsi="等线" w:eastAsia="等线" w:cs="等线"/>
          <w:color w:val="auto"/>
        </w:rPr>
        <w:t>：合作方能否讲清楚它的方法路径、建设对象和评价方式，而不是只展示结果截图。第二，</w:t>
      </w:r>
      <w:r>
        <w:rPr>
          <w:rStyle w:val="26"/>
          <w:rFonts w:hint="eastAsia" w:ascii="等线" w:hAnsi="等线" w:eastAsia="等线" w:cs="等线"/>
          <w:color w:val="auto"/>
        </w:rPr>
        <w:t>是否可验证</w:t>
      </w:r>
      <w:r>
        <w:rPr>
          <w:rFonts w:hint="eastAsia" w:ascii="等线" w:hAnsi="等线" w:eastAsia="等线" w:cs="等线"/>
          <w:color w:val="auto"/>
        </w:rPr>
        <w:t>：合作方是否能够提供证据型成果、问题集逻辑、内容供给结构和周期性评测，而不是只有概念包装。第三，</w:t>
      </w:r>
      <w:r>
        <w:rPr>
          <w:rStyle w:val="26"/>
          <w:rFonts w:hint="eastAsia" w:ascii="等线" w:hAnsi="等线" w:eastAsia="等线" w:cs="等线"/>
          <w:color w:val="auto"/>
        </w:rPr>
        <w:t>是否可审计</w:t>
      </w:r>
      <w:r>
        <w:rPr>
          <w:rFonts w:hint="eastAsia" w:ascii="等线" w:hAnsi="等线" w:eastAsia="等线" w:cs="等线"/>
          <w:color w:val="auto"/>
        </w:rPr>
        <w:t>：合作过程是否留痕，评估是否可复现，结果是否有边界说明，风险是否能被识别和分类处理。</w:t>
      </w:r>
    </w:p>
    <w:p w14:paraId="51994C63">
      <w:pPr>
        <w:pStyle w:val="22"/>
        <w:keepNext w:val="0"/>
        <w:keepLines w:val="0"/>
        <w:widowControl/>
        <w:suppressLineNumbers w:val="0"/>
        <w:rPr>
          <w:rFonts w:hint="eastAsia" w:ascii="等线" w:hAnsi="等线" w:eastAsia="等线" w:cs="等线"/>
          <w:color w:val="auto"/>
        </w:rPr>
      </w:pPr>
      <w:r>
        <w:rPr>
          <w:rFonts w:hint="eastAsia" w:ascii="等线" w:hAnsi="等线" w:eastAsia="等线" w:cs="等线"/>
          <w:color w:val="auto"/>
        </w:rPr>
        <w:t>这类标准看似提高了门槛，实则是在帮助品牌避免进入“高成本、低沉淀、难复盘”的循环。原稿第四章本来已经把“可解释、可验证”放在品牌选择标准的前面，这个方向完全正确，新版只需进一步把“可审计”补上，使其更符合治理导向。</w:t>
      </w:r>
    </w:p>
    <w:p w14:paraId="06F90FEA">
      <w:pPr>
        <w:spacing w:before="120" w:after="120" w:line="288" w:lineRule="auto"/>
      </w:pPr>
    </w:p>
    <w:p w14:paraId="49E8BF18">
      <w:pPr>
        <w:pStyle w:val="3"/>
        <w:keepNext w:val="0"/>
        <w:keepLines w:val="0"/>
        <w:widowControl/>
        <w:suppressLineNumbers w:val="0"/>
        <w:rPr>
          <w:rFonts w:hint="eastAsia" w:ascii="等线" w:hAnsi="等线" w:eastAsia="等线" w:cs="等线"/>
          <w:b/>
          <w:bCs/>
          <w:color w:val="auto"/>
        </w:rPr>
      </w:pPr>
      <w:bookmarkStart w:id="28" w:name="_Toc3278"/>
      <w:r>
        <w:rPr>
          <w:rFonts w:hint="eastAsia" w:ascii="等线" w:hAnsi="等线" w:eastAsia="等线" w:cs="等线"/>
          <w:b/>
          <w:bCs/>
          <w:color w:val="auto"/>
        </w:rPr>
        <w:t>4.7 三类典型误区：战略错位、执行失真与评估失焦</w:t>
      </w:r>
      <w:bookmarkEnd w:id="28"/>
    </w:p>
    <w:p w14:paraId="24D15FEB">
      <w:pPr>
        <w:pStyle w:val="22"/>
        <w:keepNext w:val="0"/>
        <w:keepLines w:val="0"/>
        <w:widowControl/>
        <w:suppressLineNumbers w:val="0"/>
      </w:pPr>
      <w:r>
        <w:t>企业推进 AI 品牌资产建设时，最容易出现的偏差，通常不是能力不够，而是方向先错了。原稿把误区分为战略、执行与评估三类，这个结构非常好，建议保留。</w:t>
      </w:r>
    </w:p>
    <w:p w14:paraId="24A7192B">
      <w:pPr>
        <w:pStyle w:val="22"/>
        <w:keepNext w:val="0"/>
        <w:keepLines w:val="0"/>
        <w:widowControl/>
        <w:suppressLineNumbers w:val="0"/>
      </w:pPr>
      <w:r>
        <w:t>第一类是</w:t>
      </w:r>
      <w:r>
        <w:rPr>
          <w:rStyle w:val="26"/>
        </w:rPr>
        <w:t>战略错位</w:t>
      </w:r>
      <w:r>
        <w:t>。表现为只看到短期热度，把 AI 品牌资产建设简单等同于搜索优化升级，或者只追求被提及次数，却忽视品牌事实库、可信知识网络和长期口径治理的重要性。结果往往是投入不少，但所有动作都围绕“快出效果”而不是“形成积累”。</w:t>
      </w:r>
    </w:p>
    <w:p w14:paraId="43435B3F">
      <w:pPr>
        <w:pStyle w:val="22"/>
        <w:keepNext w:val="0"/>
        <w:keepLines w:val="0"/>
        <w:widowControl/>
        <w:suppressLineNumbers w:val="0"/>
      </w:pPr>
      <w:r>
        <w:t>第二类是</w:t>
      </w:r>
      <w:r>
        <w:rPr>
          <w:rStyle w:val="26"/>
        </w:rPr>
        <w:t>执行失真</w:t>
      </w:r>
      <w:r>
        <w:t>。表现为忽视权威信源、可验证案例与结构化信息建设，仍然迷信大量内容输出或碎片化分发。你原稿第三章已经指出，品牌在生成式环境中真正需要的是“面向系统的可用信息供给”，而不是简单扩大内容体量。没有边界清晰、证据充分和口径统一的供给，再多动作也可能在重排阶段被过滤掉。</w:t>
      </w:r>
    </w:p>
    <w:p w14:paraId="35BBCCF5">
      <w:pPr>
        <w:pStyle w:val="22"/>
        <w:keepNext w:val="0"/>
        <w:keepLines w:val="0"/>
        <w:widowControl/>
        <w:suppressLineNumbers w:val="0"/>
      </w:pPr>
      <w:r>
        <w:t>第三类是</w:t>
      </w:r>
      <w:r>
        <w:rPr>
          <w:rStyle w:val="26"/>
        </w:rPr>
        <w:t>评估失焦</w:t>
      </w:r>
      <w:r>
        <w:t>。表现为仍然拿少量截图、单次回答、主观印象去代替可复现评测，或者继续把点击、排名等旧指标当作唯一目标，而忽视品牌在 AI 场景中的被理解、被引用、被误读与被风险化表达等真实问题。AIBV 的意义之一，就在于帮助企业把“模糊感受”变成“结构问题”，把“阶段性展示”变成“持续可测量的资产与风险变化”。</w:t>
      </w:r>
    </w:p>
    <w:p w14:paraId="5959197F">
      <w:pPr>
        <w:pStyle w:val="9"/>
        <w:jc w:val="center"/>
        <w:rPr>
          <w:rFonts w:ascii="Arial" w:hAnsi="Arial" w:eastAsia="等线" w:cs="Arial"/>
          <w:sz w:val="24"/>
          <w:szCs w:val="24"/>
        </w:rPr>
      </w:pPr>
      <w:r>
        <w:rPr>
          <w:rFonts w:hint="eastAsia"/>
          <w:sz w:val="24"/>
          <w:szCs w:val="24"/>
        </w:rPr>
        <w:t xml:space="preserve">图表 </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sz w:val="24"/>
          <w:szCs w:val="24"/>
        </w:rPr>
        <w:t>4</w:t>
      </w:r>
      <w:r>
        <w:rPr>
          <w:sz w:val="24"/>
          <w:szCs w:val="24"/>
        </w:rPr>
        <w:fldChar w:fldCharType="end"/>
      </w:r>
      <w:r>
        <w:rPr>
          <w:rFonts w:hint="eastAsia"/>
          <w:sz w:val="24"/>
          <w:szCs w:val="24"/>
        </w:rPr>
        <w:t xml:space="preserve"> </w:t>
      </w:r>
      <w:r>
        <w:rPr>
          <w:sz w:val="24"/>
          <w:szCs w:val="24"/>
        </w:rPr>
        <w:t>低质</w:t>
      </w:r>
      <w:r>
        <w:rPr>
          <w:rFonts w:hint="eastAsia"/>
          <w:sz w:val="24"/>
          <w:szCs w:val="24"/>
          <w:lang w:val="en-US" w:eastAsia="zh-CN"/>
        </w:rPr>
        <w:t>AIPE</w:t>
      </w:r>
      <w:r>
        <w:rPr>
          <w:sz w:val="24"/>
          <w:szCs w:val="24"/>
        </w:rPr>
        <w:t>的局限性与风险</w:t>
      </w:r>
    </w:p>
    <w:p w14:paraId="4A3414DF">
      <w:pPr>
        <w:spacing w:before="120" w:after="120" w:line="288" w:lineRule="auto"/>
        <w:jc w:val="center"/>
        <w:rPr>
          <w:rFonts w:ascii="Arial" w:hAnsi="Arial" w:eastAsia="等线" w:cs="Arial"/>
        </w:rPr>
      </w:pPr>
      <w:r>
        <w:rPr>
          <w:rFonts w:ascii="Arial" w:hAnsi="Arial" w:eastAsia="等线" w:cs="Arial"/>
        </w:rPr>
        <w:drawing>
          <wp:inline distT="0" distB="0" distL="0" distR="0">
            <wp:extent cx="5731510" cy="3785870"/>
            <wp:effectExtent l="0" t="0" r="0" b="0"/>
            <wp:docPr id="1061814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14850" name="图片 1"/>
                    <pic:cNvPicPr>
                      <a:picLocks noChangeAspect="1"/>
                    </pic:cNvPicPr>
                  </pic:nvPicPr>
                  <pic:blipFill>
                    <a:blip r:embed="rId9"/>
                    <a:stretch>
                      <a:fillRect/>
                    </a:stretch>
                  </pic:blipFill>
                  <pic:spPr>
                    <a:xfrm>
                      <a:off x="0" y="0"/>
                      <a:ext cx="5731510" cy="3785870"/>
                    </a:xfrm>
                    <a:prstGeom prst="rect">
                      <a:avLst/>
                    </a:prstGeom>
                  </pic:spPr>
                </pic:pic>
              </a:graphicData>
            </a:graphic>
          </wp:inline>
        </w:drawing>
      </w:r>
    </w:p>
    <w:p w14:paraId="4B1192E4">
      <w:pPr>
        <w:widowControl/>
        <w:rPr>
          <w:sz w:val="12"/>
          <w:szCs w:val="12"/>
        </w:rPr>
      </w:pPr>
      <w:r>
        <w:br w:type="page"/>
      </w:r>
    </w:p>
    <w:p w14:paraId="7C3D1389">
      <w:pPr>
        <w:pStyle w:val="47"/>
      </w:pPr>
      <w:bookmarkStart w:id="29" w:name="_Toc223693313"/>
      <w:bookmarkStart w:id="30" w:name="_Toc23720"/>
      <w:r>
        <w:t>第</w:t>
      </w:r>
      <w:r>
        <w:rPr>
          <w:rFonts w:hint="eastAsia"/>
        </w:rPr>
        <w:t>五</w:t>
      </w:r>
      <w:r>
        <w:t>章 行业落地指南：不同赛道的“认知主</w:t>
      </w:r>
      <w:r>
        <w:rPr>
          <w:rFonts w:hint="eastAsia"/>
          <w:lang w:val="en-US" w:eastAsia="zh-CN"/>
        </w:rPr>
        <w:t>导</w:t>
      </w:r>
      <w:r>
        <w:t>权”争夺战</w:t>
      </w:r>
      <w:bookmarkEnd w:id="29"/>
      <w:bookmarkEnd w:id="30"/>
      <w:r>
        <w:t xml:space="preserve"> </w:t>
      </w:r>
    </w:p>
    <w:p w14:paraId="4E235F63">
      <w:pPr>
        <w:spacing w:before="120" w:after="120" w:line="288" w:lineRule="auto"/>
        <w:rPr>
          <w:rFonts w:ascii="Arial" w:hAnsi="Arial" w:eastAsia="等线" w:cs="Arial"/>
        </w:rPr>
      </w:pPr>
      <w:r>
        <w:rPr>
          <w:rFonts w:hint="eastAsia" w:ascii="Arial" w:hAnsi="Arial" w:eastAsia="等线" w:cs="Arial"/>
          <w:lang w:val="en-US" w:eastAsia="zh-CN"/>
        </w:rPr>
        <w:t>前面</w:t>
      </w:r>
      <w:r>
        <w:rPr>
          <w:rFonts w:hint="eastAsia" w:ascii="Arial" w:hAnsi="Arial" w:eastAsia="等线" w:cs="Arial"/>
        </w:rPr>
        <w:t>讨论了生成式引擎的筛选逻辑与</w:t>
      </w:r>
      <w:r>
        <w:rPr>
          <w:rFonts w:hint="eastAsia" w:ascii="Arial" w:hAnsi="Arial" w:eastAsia="等线" w:cs="Arial"/>
          <w:lang w:val="en-US" w:eastAsia="zh-CN"/>
        </w:rPr>
        <w:t>AI品牌资产建设</w:t>
      </w:r>
      <w:r>
        <w:rPr>
          <w:rFonts w:hint="eastAsia" w:ascii="Arial" w:hAnsi="Arial" w:eastAsia="等线" w:cs="Arial"/>
        </w:rPr>
        <w:t>方法体系，但行业落地从来不是“一套模板适配所有赛道”。不同行业的决策链路、用户意图与风险权重差异显著，生成式引擎在证据选择与表达策略上也存在明显偏好差异。</w:t>
      </w:r>
      <w:r>
        <w:rPr>
          <w:rFonts w:hint="eastAsia" w:ascii="Arial" w:hAnsi="Arial" w:eastAsia="等线" w:cs="Arial"/>
          <w:lang w:val="en-US" w:eastAsia="zh-CN"/>
        </w:rPr>
        <w:t>AI品牌资产建设</w:t>
      </w:r>
      <w:r>
        <w:rPr>
          <w:rFonts w:hint="eastAsia" w:ascii="Arial" w:hAnsi="Arial" w:eastAsia="等线" w:cs="Arial"/>
        </w:rPr>
        <w:t>正在企业服务、零售电商、本地生活、内容IP与教育文旅、强合规行业五大赛道率先规模化，并预计到2027年共同支撑约100亿元以上的新型营销市场。本章围绕五大赛道，拆解典型问题形态、需求痛点与内容建设重心，帮助企业将“认知主权”转化为可执行的资产建设与运营路径。</w:t>
      </w:r>
    </w:p>
    <w:p w14:paraId="3E0F331B">
      <w:pPr>
        <w:pStyle w:val="48"/>
      </w:pPr>
      <w:bookmarkStart w:id="31" w:name="_Toc223693314"/>
      <w:bookmarkStart w:id="32" w:name="_Toc4265"/>
      <w:r>
        <w:rPr>
          <w:rFonts w:hint="eastAsia" w:ascii="等线" w:hAnsi="等线" w:eastAsia="等线" w:cs="等线"/>
        </w:rPr>
        <w:t>5.1 企业服务（SaaS/工业/B2B）：从“流量曝光”转向“专业代入”</w:t>
      </w:r>
      <w:bookmarkEnd w:id="31"/>
      <w:bookmarkEnd w:id="32"/>
    </w:p>
    <w:p w14:paraId="682859FD">
      <w:pPr>
        <w:spacing w:before="120" w:after="120" w:line="288" w:lineRule="auto"/>
        <w:rPr>
          <w:rFonts w:ascii="Arial" w:hAnsi="Arial" w:eastAsia="等线" w:cs="Arial"/>
        </w:rPr>
      </w:pPr>
      <w:r>
        <w:rPr>
          <w:rFonts w:hint="eastAsia" w:ascii="Arial" w:hAnsi="Arial" w:eastAsia="等线" w:cs="Arial"/>
        </w:rPr>
        <w:t>在企业服务赛道，用户对品牌信息的需求正在从“知道你是谁”转向“你能不能给出可落地方案”。当用户在AI助手中提出“如何缓解制造企业库存积压”“适合50人团队的协作软件怎么选”等问题时，系统需要的不只是产品列表，而是一套逻辑闭环、可论证的解决路径。受制于决策成本高、试错代价大的行业特性，生成式引擎在处理此类问题上往往更依赖结构清晰、可验证、可追溯的“知识材料”，包括技术定义、应用边界条件、分阶段实施路径与具有标杆性意义的案例证据。围绕这一需求特性，企业服务赛道的</w:t>
      </w:r>
      <w:r>
        <w:rPr>
          <w:rFonts w:hint="eastAsia" w:ascii="Arial" w:hAnsi="Arial" w:eastAsia="等线" w:cs="Arial"/>
          <w:lang w:val="en-US" w:eastAsia="zh-CN"/>
        </w:rPr>
        <w:t>AIBE</w:t>
      </w:r>
      <w:r>
        <w:rPr>
          <w:rFonts w:hint="eastAsia" w:ascii="Arial" w:hAnsi="Arial" w:eastAsia="等线" w:cs="Arial"/>
        </w:rPr>
        <w:t>内容建设需聚焦三类核心资产：一是推进“技术百科化”建设，将零散的产品手册、功能页升级为结构化的技术白皮书与行业词条库，通过标准化呈现提升被引擎检索、引用的确定性，强化专业话语权；二是实现ROI语义具象化，摒弃“省钱提效”等口号式的模糊表达，转化为“在某行业场景下，通过某机制实现多少比例的效率提升/成本改善”，并明确前提条件与核算口径，便于模型提取完整的逻辑链条；三是搭建竞品对比锚点，主动梳理并提供与行业通用方案、主要竞品的边界差异，明确“适用/不适用条件”，为模型输出稳定、可信的推荐结论提供支撑。</w:t>
      </w:r>
    </w:p>
    <w:p w14:paraId="6F112E2D">
      <w:pPr>
        <w:pStyle w:val="48"/>
        <w:rPr>
          <w:rFonts w:ascii="等线" w:hAnsi="等线" w:eastAsia="等线" w:cs="等线"/>
        </w:rPr>
      </w:pPr>
      <w:bookmarkStart w:id="33" w:name="_Toc223693315"/>
      <w:bookmarkStart w:id="34" w:name="_Toc28910"/>
      <w:r>
        <w:rPr>
          <w:rFonts w:hint="eastAsia"/>
        </w:rPr>
        <w:t>5.2 零售与电商：从“搜索排名”转向“消费意图精准匹配”</w:t>
      </w:r>
      <w:bookmarkEnd w:id="33"/>
      <w:bookmarkEnd w:id="34"/>
    </w:p>
    <w:p w14:paraId="01256A70">
      <w:pPr>
        <w:spacing w:before="120" w:after="120" w:line="288" w:lineRule="auto"/>
        <w:rPr>
          <w:rFonts w:ascii="Arial" w:hAnsi="Arial" w:eastAsia="等线" w:cs="Arial"/>
        </w:rPr>
      </w:pPr>
      <w:r>
        <w:rPr>
          <w:rFonts w:hint="eastAsia" w:ascii="Arial" w:hAnsi="Arial" w:eastAsia="等线" w:cs="Arial"/>
        </w:rPr>
        <w:t>零售电商场景中，生成式引擎正逐步取代传统搜索，成为链接用户与品牌的“全能导购”。用户更习惯于带着明确条件的问题发起决策，例如“预算500元送女朋友什么礼物”“敏感肌适合什么防晒”，系统往往直接输出候选清单与推荐理由。传统搜索时代品牌依赖关键词抢占，而在生成式环境中，品牌能否进入“备选清单”并以清晰的理由打动客户，成为更关键的增长变量。因此，电商</w:t>
      </w:r>
      <w:r>
        <w:rPr>
          <w:rFonts w:hint="eastAsia" w:ascii="Arial" w:hAnsi="Arial" w:eastAsia="等线" w:cs="Arial"/>
          <w:lang w:val="en-US" w:eastAsia="zh-CN"/>
        </w:rPr>
        <w:t>AIPE</w:t>
      </w:r>
      <w:r>
        <w:rPr>
          <w:rFonts w:hint="eastAsia" w:ascii="Arial" w:hAnsi="Arial" w:eastAsia="等线" w:cs="Arial"/>
        </w:rPr>
        <w:t>的内容重心应从“讲品牌故事”转向“双向的意图匹配与可对比”。具体可聚焦三类资产建设：一是搭建场景化标签体系（Scenario Tags），围绕“痛点+人群+环境”铺设语义锚点，如“露营必备”“一人食”“极简风”“敏感肌可用”等；二是构建结构化参数库，确保成分、材质、尺寸、适配人群、注意事项等以标准化列表或结构化字段呈现，提升被模型抽取做横向对比的概率，强化答案的说服力；三是强化本地可得性与LBS关联，针对“附近哪里能买到”“最快多久送达”等即时性需求，确保门店位置、线上渠道、配送时效等信息实时可检索、可核验，助力品牌进入用户即时购买决策链路，抢占消费场景认知。</w:t>
      </w:r>
    </w:p>
    <w:p w14:paraId="1371085B">
      <w:pPr>
        <w:pStyle w:val="48"/>
      </w:pPr>
      <w:bookmarkStart w:id="35" w:name="_Toc223693316"/>
      <w:bookmarkStart w:id="36" w:name="_Toc26229"/>
      <w:r>
        <w:rPr>
          <w:rFonts w:hint="eastAsia"/>
        </w:rPr>
        <w:t>5.3 本地生活（餐饮/酒旅/生活服务）：从“高分评价”转向“即时消费路由”</w:t>
      </w:r>
      <w:bookmarkEnd w:id="35"/>
      <w:bookmarkEnd w:id="36"/>
    </w:p>
    <w:p w14:paraId="725A5157">
      <w:pPr>
        <w:spacing w:before="120" w:after="120" w:line="288" w:lineRule="auto"/>
        <w:rPr>
          <w:rFonts w:ascii="Arial" w:hAnsi="Arial" w:eastAsia="等线" w:cs="Arial"/>
        </w:rPr>
      </w:pPr>
      <w:r>
        <w:rPr>
          <w:rFonts w:hint="eastAsia" w:ascii="Arial" w:hAnsi="Arial" w:eastAsia="等线" w:cs="Arial"/>
        </w:rPr>
        <w:t>本地生活的核心竞争更强调“建立信任感”与“提升便利性”两大维度，生成式引擎的介入更放大了这一核心逻辑。用户常提出具有强场景约束的问题，如“静安区适合商务宴请、环境安静的餐厅”“周末带娃去哪玩、不用排队”，此类问题信息时效性强、状态变化快，用户更愿意接受系统给出可执行的即时建议。生成式引擎在此更看重可执行性与实时可信信息，而不仅是抽象的高分评价。基于此，本地生活赛道</w:t>
      </w:r>
      <w:r>
        <w:rPr>
          <w:rFonts w:hint="eastAsia" w:ascii="Arial" w:hAnsi="Arial" w:eastAsia="等线" w:cs="Arial"/>
          <w:lang w:val="en-US" w:eastAsia="zh-CN"/>
        </w:rPr>
        <w:t>AIPE</w:t>
      </w:r>
      <w:r>
        <w:rPr>
          <w:rFonts w:hint="eastAsia" w:ascii="Arial" w:hAnsi="Arial" w:eastAsia="等线" w:cs="Arial"/>
        </w:rPr>
        <w:t>需重点补齐三类内容资产：一是实时动态语料，持续更新营业状态、预约方式、排队情况、服务时段等关键事实，通过高频更新减少模型引用过期信息的风险，筑牢信任基础；二是沉淀深度语义评价，积累包含场景化细节的评论与描述（如“灯光柔和、座位间距大”“亲子区隔音好”），因为细节更能支撑场景匹配推理，提升推荐精准度；三是补全场景化标签属性，将“亲子友好、停车免费、宠物准入、可开发票”等核心特征明确标注为可检索属性，确保用户长尾场景意图能够稳定命中，同时为引擎构建即时消费路由提供清晰指引。</w:t>
      </w:r>
    </w:p>
    <w:p w14:paraId="0DEF6A7C">
      <w:pPr>
        <w:pStyle w:val="48"/>
      </w:pPr>
      <w:bookmarkStart w:id="37" w:name="_Toc223693317"/>
      <w:bookmarkStart w:id="38" w:name="_Toc24912"/>
      <w:r>
        <w:rPr>
          <w:rFonts w:hint="eastAsia"/>
        </w:rPr>
        <w:t>5.4 内容IP与教育文旅：从“单向输出”转向“交互式生态搭建”</w:t>
      </w:r>
      <w:bookmarkEnd w:id="37"/>
      <w:bookmarkEnd w:id="38"/>
    </w:p>
    <w:p w14:paraId="34D4DA1C">
      <w:pPr>
        <w:spacing w:before="120" w:after="120" w:line="288" w:lineRule="auto"/>
        <w:rPr>
          <w:rFonts w:ascii="Arial" w:hAnsi="Arial" w:eastAsia="等线" w:cs="Arial"/>
        </w:rPr>
      </w:pPr>
      <w:r>
        <w:rPr>
          <w:rFonts w:hint="eastAsia" w:ascii="Arial" w:hAnsi="Arial" w:eastAsia="等线" w:cs="Arial"/>
        </w:rPr>
        <w:t>在内容IP、教育、文旅等知识与攻略类行业中，生成式引擎更像“知识加工厂”。面对海量的分散信息，用户不再愿意阅读多篇内容自行拼装路线或学习计划，而希望系统直接输出一份最优的一站式方案，例如“3天深度游北京怎么规划”“教师资格证备考路径怎么排”。因此，该赛道的关键不在内容量的堆砌，而在于内容结构的完整性与可引用性。建议重点建设三类素材：一是打造结构化教程（Step-by-Step），将攻略、课程、游玩路线等拆解为清晰的步骤、模块与备选项，例如备考攻略按“基础阶段-强化阶段-冲刺阶段”划分，每阶段明确核心任务、资料推荐、时间分配，使模型可以直接引用为答案框架；其二是构建多维评价体系，引入学员反馈、通过率、真实出片心得等第三方验证材料，以提升引用权威性，增加模型引用意愿；其三是维护动态政策库，针对考试报名、景区政策、开放时间等高频变动信息建立实时更新机制，避免模型因不确定而采取保守表达或降低引用，确保认知输出的时效性与准确性。</w:t>
      </w:r>
    </w:p>
    <w:p w14:paraId="64C02D73">
      <w:pPr>
        <w:pStyle w:val="48"/>
        <w:rPr>
          <w:rFonts w:ascii="等线" w:hAnsi="等线" w:eastAsia="等线" w:cs="等线"/>
        </w:rPr>
      </w:pPr>
      <w:bookmarkStart w:id="39" w:name="_Toc223693318"/>
      <w:bookmarkStart w:id="40" w:name="_Toc17179"/>
      <w:r>
        <w:rPr>
          <w:rFonts w:hint="eastAsia"/>
        </w:rPr>
        <w:t>5.5 强合规行业（医疗/金融/法律）：从“模糊回答”转向“权威合规源”</w:t>
      </w:r>
      <w:bookmarkEnd w:id="39"/>
      <w:bookmarkEnd w:id="40"/>
    </w:p>
    <w:p w14:paraId="3B9C8758">
      <w:pPr>
        <w:spacing w:before="120" w:after="120" w:line="288" w:lineRule="auto"/>
        <w:rPr>
          <w:rFonts w:ascii="Arial" w:hAnsi="Arial" w:eastAsia="等线" w:cs="Arial"/>
        </w:rPr>
      </w:pPr>
      <w:r>
        <w:rPr>
          <w:rFonts w:hint="eastAsia" w:ascii="Arial" w:hAnsi="Arial" w:eastAsia="等线" w:cs="Arial"/>
        </w:rPr>
        <w:t>强合规行业是</w:t>
      </w:r>
      <w:r>
        <w:rPr>
          <w:rFonts w:hint="eastAsia" w:ascii="Arial" w:hAnsi="Arial" w:eastAsia="等线" w:cs="Arial"/>
          <w:lang w:val="en-US" w:eastAsia="zh-CN"/>
        </w:rPr>
        <w:t>AIPE</w:t>
      </w:r>
      <w:r>
        <w:rPr>
          <w:rFonts w:hint="eastAsia" w:ascii="Arial" w:hAnsi="Arial" w:eastAsia="等线" w:cs="Arial"/>
        </w:rPr>
        <w:t>难度最高但价值也最显著的赛道之一。由于存在误导风险，生成式引擎在医疗、金融、法律等问题上通常采用更保守的策略，优先引用权威、可核验、具备明确专业或法律依据的信源材料。用户核心需求多为专业问题咨询，例如“某条款如何解读”“某疾病如何预防”“某产品风险点是什么”等，若系统缺少可信依据往往会弱化结论甚至回避推荐，导致品牌错失认知占位机会。因此，该赛道</w:t>
      </w:r>
      <w:r>
        <w:rPr>
          <w:rFonts w:hint="eastAsia" w:ascii="Arial" w:hAnsi="Arial" w:eastAsia="等线" w:cs="Arial"/>
          <w:lang w:val="en-US" w:eastAsia="zh-CN"/>
        </w:rPr>
        <w:t>AIPE</w:t>
      </w:r>
      <w:r>
        <w:rPr>
          <w:rFonts w:hint="eastAsia" w:ascii="Arial" w:hAnsi="Arial" w:eastAsia="等线" w:cs="Arial"/>
        </w:rPr>
        <w:t>的核心任务是“占位权威信源并降低风险不确定性”。具体需重点建设三类资产：一是构建经合规审核通过的官方标准问答（FAQ）与标准语料库，将高频专业问题、标准解答、合规表述整理成册作为模型检索的默认优先信源，从源头把控表达准确性；二是强化专家语义背书与标准引用，在内容中合理融入权威专家观点、行业核心标准、公开学术文献及法律法规条文，并附上可验证出处，提升内容权威性与可追溯性；三是明确边界说明和风险提示，清晰界定内容适用范围、禁忌条件及责任边界，例如医疗内容注明“仅供健康参考，不构成诊疗建议”，金融内容明确“不构成投资指导”，同时标注线下专业咨询渠道。在生成式环境中，这类能够清晰界定风险、划清服务边界的内容，更易被系统采纳为专业证据，从而稳固权威认知地位。</w:t>
      </w:r>
    </w:p>
    <w:p w14:paraId="7F010A64">
      <w:pPr>
        <w:widowControl/>
        <w:rPr>
          <w:rFonts w:ascii="Arial" w:hAnsi="Arial" w:eastAsia="等线" w:cs="Arial"/>
        </w:rPr>
      </w:pPr>
      <w:r>
        <w:rPr>
          <w:rFonts w:ascii="Arial" w:hAnsi="Arial" w:eastAsia="等线" w:cs="Arial"/>
        </w:rPr>
        <w:br w:type="page"/>
      </w:r>
    </w:p>
    <w:p w14:paraId="65F88CD8">
      <w:pPr>
        <w:pStyle w:val="47"/>
      </w:pPr>
      <w:bookmarkStart w:id="41" w:name="_Toc14488"/>
      <w:r>
        <w:t xml:space="preserve">第六章 </w:t>
      </w:r>
      <w:r>
        <w:rPr>
          <w:rFonts w:hint="eastAsia"/>
          <w:lang w:val="en-US" w:eastAsia="zh-CN"/>
        </w:rPr>
        <w:t>AI品牌资产建设</w:t>
      </w:r>
      <w:r>
        <w:t>的方法论：从语义定位到答案资产</w:t>
      </w:r>
      <w:bookmarkEnd w:id="41"/>
    </w:p>
    <w:p w14:paraId="1EF51AD6">
      <w:pPr>
        <w:pStyle w:val="3"/>
        <w:keepNext w:val="0"/>
        <w:keepLines w:val="0"/>
        <w:widowControl/>
        <w:suppressLineNumbers w:val="0"/>
        <w:rPr>
          <w:rFonts w:hint="eastAsia" w:ascii="等线" w:hAnsi="等线" w:eastAsia="等线" w:cs="等线"/>
          <w:b/>
          <w:bCs/>
          <w:color w:val="auto"/>
        </w:rPr>
      </w:pPr>
      <w:bookmarkStart w:id="42" w:name="_Toc4538"/>
      <w:r>
        <w:rPr>
          <w:rFonts w:hint="eastAsia" w:ascii="等线" w:hAnsi="等线" w:eastAsia="等线" w:cs="等线"/>
          <w:b/>
          <w:bCs/>
          <w:color w:val="auto"/>
        </w:rPr>
        <w:t>6.1 核心工作：从“多写内容”转向“提供可信、可用的答案”</w:t>
      </w:r>
      <w:bookmarkEnd w:id="42"/>
    </w:p>
    <w:p w14:paraId="0822B9F7">
      <w:pPr>
        <w:pStyle w:val="22"/>
        <w:keepNext w:val="0"/>
        <w:keepLines w:val="0"/>
        <w:widowControl/>
        <w:suppressLineNumbers w:val="0"/>
      </w:pPr>
      <w:r>
        <w:t>在生成式环境中，品牌需要经营的不只是内容数量，更关键的是能够被系统长期复用的有效信息单元。原稿这一节已经明确指出，品牌策略需要从“面向人类读者的表达”适度转向“面向系统的可用信息供给”，这一判断非常关键，建议完整保留并进一步加强。</w:t>
      </w:r>
    </w:p>
    <w:p w14:paraId="2827367F">
      <w:pPr>
        <w:pStyle w:val="22"/>
        <w:keepNext w:val="0"/>
        <w:keepLines w:val="0"/>
        <w:widowControl/>
        <w:suppressLineNumbers w:val="0"/>
      </w:pPr>
      <w:r>
        <w:t>所谓“提供可信、可用的答案”，并不是让品牌替 AI 写答案，而是让品牌把自身最关键、最容易被问到、最需要被准确表达的信息，整理成结构清晰、边界明确、证据充分、适合检索与引用的知识单元。与传统内容不同，这些知识单元不仅要能被人看懂，还要能被系统识别、切分、理解、比较和复用。它们既服务于 AI 的召回与生成，也服务于品牌自身对口径一致性和风险说明的治理。</w:t>
      </w:r>
    </w:p>
    <w:p w14:paraId="07FEB62E">
      <w:pPr>
        <w:pStyle w:val="22"/>
        <w:keepNext w:val="0"/>
        <w:keepLines w:val="0"/>
        <w:widowControl/>
        <w:suppressLineNumbers w:val="0"/>
      </w:pPr>
      <w:r>
        <w:t>因此，方法论的出发点不应再是“如何写更多”，而应是“如何让最重要的信息被更准确地使用”。品牌真正缺的，不是文案产量，而是面向 AI 的高质量答案供给能力。</w:t>
      </w:r>
    </w:p>
    <w:p w14:paraId="7DE70E4A">
      <w:pPr>
        <w:pStyle w:val="9"/>
        <w:jc w:val="center"/>
        <w:rPr>
          <w:rFonts w:ascii="等线" w:hAnsi="等线" w:eastAsia="等线" w:cs="Arial"/>
          <w:sz w:val="24"/>
          <w:szCs w:val="24"/>
        </w:rPr>
      </w:pPr>
      <w:r>
        <w:rPr>
          <w:rFonts w:hint="eastAsia" w:ascii="等线" w:hAnsi="等线" w:eastAsia="等线"/>
          <w:sz w:val="24"/>
          <w:szCs w:val="24"/>
        </w:rPr>
        <w:t xml:space="preserve">图表 </w:t>
      </w:r>
      <w:r>
        <w:rPr>
          <w:rFonts w:ascii="等线" w:hAnsi="等线" w:eastAsia="等线"/>
          <w:sz w:val="24"/>
          <w:szCs w:val="24"/>
        </w:rPr>
        <w:fldChar w:fldCharType="begin"/>
      </w:r>
      <w:r>
        <w:rPr>
          <w:rFonts w:ascii="等线" w:hAnsi="等线" w:eastAsia="等线"/>
          <w:sz w:val="24"/>
          <w:szCs w:val="24"/>
        </w:rPr>
        <w:instrText xml:space="preserve"> </w:instrText>
      </w:r>
      <w:r>
        <w:rPr>
          <w:rFonts w:hint="eastAsia" w:ascii="等线" w:hAnsi="等线" w:eastAsia="等线"/>
          <w:sz w:val="24"/>
          <w:szCs w:val="24"/>
        </w:rPr>
        <w:instrText xml:space="preserve">SEQ 图表 \* ARABIC</w:instrText>
      </w:r>
      <w:r>
        <w:rPr>
          <w:rFonts w:ascii="等线" w:hAnsi="等线" w:eastAsia="等线"/>
          <w:sz w:val="24"/>
          <w:szCs w:val="24"/>
        </w:rPr>
        <w:instrText xml:space="preserve"> </w:instrText>
      </w:r>
      <w:r>
        <w:rPr>
          <w:rFonts w:ascii="等线" w:hAnsi="等线" w:eastAsia="等线"/>
          <w:sz w:val="24"/>
          <w:szCs w:val="24"/>
        </w:rPr>
        <w:fldChar w:fldCharType="separate"/>
      </w:r>
      <w:r>
        <w:rPr>
          <w:rFonts w:ascii="等线" w:hAnsi="等线" w:eastAsia="等线"/>
          <w:sz w:val="24"/>
          <w:szCs w:val="24"/>
        </w:rPr>
        <w:t>5</w:t>
      </w:r>
      <w:r>
        <w:rPr>
          <w:rFonts w:ascii="等线" w:hAnsi="等线" w:eastAsia="等线"/>
          <w:sz w:val="24"/>
          <w:szCs w:val="24"/>
        </w:rPr>
        <w:fldChar w:fldCharType="end"/>
      </w:r>
      <w:r>
        <w:rPr>
          <w:rFonts w:hint="eastAsia" w:ascii="等线" w:hAnsi="等线" w:eastAsia="等线"/>
          <w:sz w:val="24"/>
          <w:szCs w:val="24"/>
        </w:rPr>
        <w:t xml:space="preserve"> GEO的核心目标</w:t>
      </w:r>
    </w:p>
    <w:p w14:paraId="241C38DA">
      <w:pPr>
        <w:spacing w:before="120" w:after="120" w:line="288" w:lineRule="auto"/>
        <w:jc w:val="center"/>
        <w:rPr>
          <w:rFonts w:ascii="Arial" w:hAnsi="Arial" w:eastAsia="等线" w:cs="Arial"/>
        </w:rPr>
      </w:pPr>
      <w:r>
        <w:rPr>
          <w:rFonts w:ascii="Arial" w:hAnsi="Arial" w:eastAsia="等线" w:cs="Arial"/>
        </w:rPr>
        <w:drawing>
          <wp:inline distT="0" distB="0" distL="0" distR="0">
            <wp:extent cx="5731510" cy="1962785"/>
            <wp:effectExtent l="0" t="0" r="0" b="5715"/>
            <wp:docPr id="1783439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9003" name="图片 1"/>
                    <pic:cNvPicPr>
                      <a:picLocks noChangeAspect="1"/>
                    </pic:cNvPicPr>
                  </pic:nvPicPr>
                  <pic:blipFill>
                    <a:blip r:embed="rId10"/>
                    <a:stretch>
                      <a:fillRect/>
                    </a:stretch>
                  </pic:blipFill>
                  <pic:spPr>
                    <a:xfrm>
                      <a:off x="0" y="0"/>
                      <a:ext cx="5731510" cy="1962785"/>
                    </a:xfrm>
                    <a:prstGeom prst="rect">
                      <a:avLst/>
                    </a:prstGeom>
                  </pic:spPr>
                </pic:pic>
              </a:graphicData>
            </a:graphic>
          </wp:inline>
        </w:drawing>
      </w:r>
    </w:p>
    <w:p w14:paraId="69BDC25C">
      <w:pPr>
        <w:pStyle w:val="48"/>
      </w:pPr>
      <w:bookmarkStart w:id="43" w:name="_Toc223693321"/>
      <w:bookmarkStart w:id="44" w:name="heading_22"/>
      <w:bookmarkStart w:id="45" w:name="_Toc31478"/>
      <w:r>
        <w:rPr>
          <w:rFonts w:hint="eastAsia"/>
        </w:rPr>
        <w:t>6</w:t>
      </w:r>
      <w:r>
        <w:t>.2 “答案资产”作为最小单元：品牌需要提供可被引用的答案块</w:t>
      </w:r>
      <w:bookmarkEnd w:id="43"/>
      <w:bookmarkEnd w:id="44"/>
      <w:bookmarkEnd w:id="45"/>
    </w:p>
    <w:p w14:paraId="2FD621FC">
      <w:pPr>
        <w:spacing w:before="120" w:after="120" w:line="288" w:lineRule="auto"/>
        <w:rPr>
          <w:rFonts w:ascii="Arial" w:hAnsi="Arial" w:eastAsia="等线" w:cs="Arial"/>
        </w:rPr>
      </w:pPr>
      <w:r>
        <w:rPr>
          <w:rFonts w:ascii="Arial" w:hAnsi="Arial" w:eastAsia="等线" w:cs="Arial"/>
        </w:rPr>
        <w:t>在生成式引擎的检索与重排机制下，系统实际使用的往往不是整篇文章，而是被切分后的内容块。因此，品牌在内容建设时应当尽量将关键知识与关键结论组织成可独立使用的“答案单元”。本报告将这类单元称为“答案资产”（Answer Assets），其含义是：能够围绕一个明确问题，提供清晰结论与理由，并具有较高信息密度与可验证性的内容片段集合。</w:t>
      </w:r>
    </w:p>
    <w:p w14:paraId="44E27CDD">
      <w:pPr>
        <w:spacing w:before="120" w:after="120" w:line="288" w:lineRule="auto"/>
        <w:rPr>
          <w:rFonts w:ascii="Arial" w:hAnsi="Arial" w:eastAsia="等线" w:cs="Arial"/>
        </w:rPr>
      </w:pPr>
      <w:r>
        <w:rPr>
          <w:rFonts w:ascii="Arial" w:hAnsi="Arial" w:eastAsia="等线" w:cs="Arial"/>
        </w:rPr>
        <w:t>从实践角度看，一个合格的答案资产通常具备以下特征：其一，问题边界明确，能够直接回应用户在某一场景中的具体疑问；其二，结论表达清晰，避免冗长铺垫或过度修辞；其三，理由结构化，能够以条目化或分层方式说明“为什么”；其四，适用条件与限制条件明确，避免“适用于所有人”的泛化表达；其五，尽可能提供可追溯依据，例如数据来源、权威引用、案例或标准条款等，以提升被系统采纳的可信度。需要强调的是，答案资产并非取代叙事内容，而是在关键问题上补足“可被系统使用”的信息形态，从而使品牌在答案生成环节更容易被引用和复用。</w:t>
      </w:r>
    </w:p>
    <w:p w14:paraId="3FDD0C97">
      <w:pPr>
        <w:spacing w:before="120" w:after="120" w:line="288" w:lineRule="auto"/>
      </w:pPr>
    </w:p>
    <w:p w14:paraId="1E38E2AF">
      <w:pPr>
        <w:pStyle w:val="48"/>
      </w:pPr>
      <w:bookmarkStart w:id="46" w:name="_Toc223693322"/>
      <w:bookmarkStart w:id="47" w:name="heading_23"/>
      <w:bookmarkStart w:id="48" w:name="_Toc15626"/>
      <w:r>
        <w:rPr>
          <w:rFonts w:hint="eastAsia"/>
        </w:rPr>
        <w:t>6</w:t>
      </w:r>
      <w:r>
        <w:t>.3 品牌语义定位：让系统“认得出、分得清、想得起”</w:t>
      </w:r>
      <w:bookmarkEnd w:id="46"/>
      <w:bookmarkEnd w:id="47"/>
      <w:bookmarkEnd w:id="48"/>
    </w:p>
    <w:p w14:paraId="075D27A6">
      <w:pPr>
        <w:spacing w:before="120" w:after="120" w:line="288" w:lineRule="auto"/>
        <w:rPr>
          <w:rFonts w:ascii="Arial" w:hAnsi="Arial" w:eastAsia="等线" w:cs="Arial"/>
        </w:rPr>
      </w:pPr>
      <w:r>
        <w:rPr>
          <w:rFonts w:ascii="Arial" w:hAnsi="Arial" w:eastAsia="等线" w:cs="Arial"/>
        </w:rPr>
        <w:t>在生成式引擎环境中，品牌想要在关键问题上获得稳定出现，首先需要解决“被正确理解”的问题。本报告将这一基础工作概括为“品牌语义定位”（Brand Semantic Positioning），其目标并非传统意义上的口号提炼，而是让生成式系统在语义层面形成清晰、可区分、可调用的品牌画像。更通俗地说，语义定位要回答三件事：系统是否认得出你是谁，是否分得清你与竞品的差别，是否在特定场景下会自然想到你。</w:t>
      </w:r>
    </w:p>
    <w:p w14:paraId="1BC6B724">
      <w:pPr>
        <w:spacing w:before="120" w:after="120" w:line="288" w:lineRule="auto"/>
        <w:rPr>
          <w:rFonts w:ascii="Arial" w:hAnsi="Arial" w:eastAsia="等线" w:cs="Arial"/>
        </w:rPr>
      </w:pPr>
      <w:r>
        <w:rPr>
          <w:rFonts w:ascii="Arial" w:hAnsi="Arial" w:eastAsia="等线" w:cs="Arial"/>
        </w:rPr>
        <w:t>为实现这一目标，语义定位通常需要同时明确四类信息。第一是实体身份，即品牌或产品的基本类型与品类归属，避免出现“既像平台又像工具”的模糊定义。第二是能力边界，即品牌擅长解决的问题与不适用的场景，边界越清晰，系统越容易形成稳定判断。第三是语义邻接，即品牌应当与哪些核心概念、场景标签与价值特征形成稳定关联，例如安全合规、成本效率、易部署、稳定性等，这些关联会影响系统在检索与生成时的召回路径。第四是场景绑定，即围绕重点用户任务与决策情境，将品牌与典型问题形成强关联，确保在高价值问题中能够被自然召回而非偶然出现。总体而言，语义定位的目标是减少不确定性，使系统能够更稳定地把品牌放入正确的语境中讨论与比较。</w:t>
      </w:r>
    </w:p>
    <w:p w14:paraId="316C9D85">
      <w:pPr>
        <w:spacing w:before="120" w:after="120" w:line="288" w:lineRule="auto"/>
      </w:pPr>
    </w:p>
    <w:p w14:paraId="2EE3CF0F">
      <w:pPr>
        <w:pStyle w:val="48"/>
      </w:pPr>
      <w:bookmarkStart w:id="49" w:name="_Toc223693323"/>
      <w:bookmarkStart w:id="50" w:name="heading_24"/>
      <w:bookmarkStart w:id="51" w:name="_Toc10858"/>
      <w:r>
        <w:rPr>
          <w:rFonts w:hint="eastAsia"/>
        </w:rPr>
        <w:t>6</w:t>
      </w:r>
      <w:r>
        <w:t>.4 “</w:t>
      </w:r>
      <w:r>
        <w:rPr>
          <w:rFonts w:hint="eastAsia"/>
        </w:rPr>
        <w:t>问题集</w:t>
      </w:r>
      <w:r>
        <w:t>”建设：从关键词清单转向问题场景覆盖</w:t>
      </w:r>
      <w:bookmarkEnd w:id="49"/>
      <w:bookmarkEnd w:id="50"/>
      <w:bookmarkEnd w:id="51"/>
    </w:p>
    <w:p w14:paraId="748B40D2">
      <w:pPr>
        <w:spacing w:before="120" w:after="120" w:line="288" w:lineRule="auto"/>
        <w:rPr>
          <w:rFonts w:ascii="Arial" w:hAnsi="Arial" w:eastAsia="等线" w:cs="Arial"/>
        </w:rPr>
      </w:pPr>
      <w:r>
        <w:rPr>
          <w:rFonts w:ascii="Arial" w:hAnsi="Arial" w:eastAsia="等线" w:cs="Arial"/>
        </w:rPr>
        <w:t>生成式交互改变了用户提问方式，也改变了品牌应当覆盖的内容边界。在搜索时代，关键词研究更多聚焦用户可能输入的词组；而在生成式时代，用户更常以完整句式提出带条件的真实需求，例如预算、时间、风险、偏好等，这使得品牌需要围绕“问题场景”而非“词组列表”来组织内容。本报告将这一覆盖框架称为“</w:t>
      </w:r>
      <w:r>
        <w:rPr>
          <w:rFonts w:hint="eastAsia" w:ascii="Arial" w:hAnsi="Arial" w:eastAsia="等线" w:cs="Arial"/>
        </w:rPr>
        <w:t>问题集</w:t>
      </w:r>
      <w:r>
        <w:rPr>
          <w:rFonts w:ascii="Arial" w:hAnsi="Arial" w:eastAsia="等线" w:cs="Arial"/>
        </w:rPr>
        <w:t>”，其核心是建立一组覆盖用户全旅程的高价值问题集合，并围绕这些问题构建可被系统采纳的答案资产。</w:t>
      </w:r>
    </w:p>
    <w:p w14:paraId="1D42B858">
      <w:pPr>
        <w:spacing w:before="120" w:after="120" w:line="288" w:lineRule="auto"/>
        <w:rPr>
          <w:rFonts w:ascii="Arial" w:hAnsi="Arial" w:eastAsia="等线" w:cs="Arial"/>
        </w:rPr>
      </w:pPr>
      <w:r>
        <w:rPr>
          <w:rFonts w:ascii="Arial" w:hAnsi="Arial" w:eastAsia="等线" w:cs="Arial"/>
        </w:rPr>
        <w:t>从实践经验看，一个较为完整的</w:t>
      </w:r>
      <w:r>
        <w:rPr>
          <w:rFonts w:hint="eastAsia" w:ascii="Arial" w:hAnsi="Arial" w:eastAsia="等线" w:cs="Arial"/>
        </w:rPr>
        <w:t>问题集</w:t>
      </w:r>
      <w:r>
        <w:rPr>
          <w:rFonts w:ascii="Arial" w:hAnsi="Arial" w:eastAsia="等线" w:cs="Arial"/>
        </w:rPr>
        <w:t>至少应覆盖五类问题：第一类是定义类问题，用于回答“品牌是什么、解决什么、适合谁”；第二类是对比类问题，用于回答“与同类方案相比差异在哪里、在什么条件下更推荐哪一种”；第三类是决策类问题，用于回答“是否应该选择、如何选择、关键权衡点是什么”；第四类是风险与负面类问题，用于回答“有哪些常见误解、可能的坑与限制条件”；第五类是替代与反事实问题，用于回答“如果不选该品牌，有哪些替代路径、在什么情境下应当选择其他方案”。需要指出的是，风险类问题并非必须回避，相反，在生成式引擎中，能够清晰解释风险边界与适用条件的品牌内容更容易被视为可靠材料，从而提升整体可信度与推荐稳定性。</w:t>
      </w:r>
    </w:p>
    <w:p w14:paraId="23A6CBC8">
      <w:pPr>
        <w:spacing w:before="120" w:after="120" w:line="288" w:lineRule="auto"/>
      </w:pPr>
    </w:p>
    <w:p w14:paraId="50E479E4">
      <w:pPr>
        <w:pStyle w:val="48"/>
      </w:pPr>
      <w:bookmarkStart w:id="52" w:name="_Toc223693324"/>
      <w:bookmarkStart w:id="53" w:name="heading_25"/>
      <w:bookmarkStart w:id="54" w:name="_Toc165"/>
      <w:r>
        <w:rPr>
          <w:rFonts w:hint="eastAsia"/>
        </w:rPr>
        <w:t>6</w:t>
      </w:r>
      <w:r>
        <w:t>.5 引用资产与权威背书：让答案“有出处”，让系统“更敢用”</w:t>
      </w:r>
      <w:bookmarkEnd w:id="52"/>
      <w:bookmarkEnd w:id="53"/>
      <w:bookmarkEnd w:id="54"/>
    </w:p>
    <w:p w14:paraId="68250F8B">
      <w:pPr>
        <w:spacing w:before="120" w:after="120" w:line="288" w:lineRule="auto"/>
        <w:rPr>
          <w:rFonts w:ascii="等线" w:hAnsi="等线" w:eastAsia="等线" w:cs="Arial"/>
        </w:rPr>
      </w:pPr>
      <w:r>
        <w:rPr>
          <w:rFonts w:ascii="等线" w:hAnsi="等线" w:eastAsia="等线" w:cs="Arial"/>
        </w:rPr>
        <w:t>仅有答案资产并不足以支撑长期、稳定的被引用能力，因为生成式引擎在高风险或高决策价值的问题中，往往更依赖权威来源与可验证材料来降低不确定性。为此，品牌需要同步建设“引用资产”（Citation Assets），即能够作为权威证据被系统引用的内容与材料，包括但不限于行业白皮书、研究报告、第三方评测、权威媒体报道、标准化FAQ、可核验的案例数据、认证与合规说明等。通俗地说，引用资产的作用在于为答案提供“出处”与“依据”，使系统在给出结论时更容易形成信心。</w:t>
      </w:r>
    </w:p>
    <w:p w14:paraId="70D24107">
      <w:pPr>
        <w:spacing w:before="120" w:after="120" w:line="288" w:lineRule="auto"/>
        <w:rPr>
          <w:rFonts w:ascii="等线" w:hAnsi="等线" w:eastAsia="等线"/>
        </w:rPr>
      </w:pPr>
      <w:r>
        <w:rPr>
          <w:rFonts w:ascii="等线" w:hAnsi="等线" w:eastAsia="等线" w:cs="Arial"/>
        </w:rPr>
        <w:t>在生成式环境下，品牌自述仍然有价值，但“第三方可验证内容”通常更具权重。一方面，权威来源更容易在路由与重排阶段获得优势；另一方面，引用资产能够帮助品牌在多个问题场景中被复用，形成更强的长期积累效应。因此，从资源投入角度看，品牌需要将一部分内容预算从“通用传播内容”转向“可被引用的证据型内容”，并确保这些资产在结构、表达与发布渠道上更适合被检索与引用。</w:t>
      </w:r>
    </w:p>
    <w:p w14:paraId="4D159B35">
      <w:pPr>
        <w:pStyle w:val="33"/>
        <w:spacing w:after="60"/>
      </w:pPr>
    </w:p>
    <w:p w14:paraId="50F02F39">
      <w:pPr>
        <w:pStyle w:val="48"/>
      </w:pPr>
      <w:bookmarkStart w:id="55" w:name="_Toc223699578"/>
      <w:bookmarkStart w:id="56" w:name="heading_26"/>
      <w:bookmarkStart w:id="57" w:name="_Toc14164"/>
      <w:r>
        <w:rPr>
          <w:rFonts w:hint="eastAsia"/>
        </w:rPr>
        <w:t>6</w:t>
      </w:r>
      <w:r>
        <w:t>.6 CREATE 方法框架：将零散动作固化为可持续体系</w:t>
      </w:r>
      <w:bookmarkEnd w:id="55"/>
      <w:bookmarkEnd w:id="56"/>
      <w:bookmarkEnd w:id="57"/>
    </w:p>
    <w:p w14:paraId="295077EC">
      <w:pPr>
        <w:spacing w:before="120" w:after="120" w:line="288" w:lineRule="auto"/>
        <w:rPr>
          <w:rFonts w:ascii="Arial" w:hAnsi="Arial" w:eastAsia="等线" w:cs="Arial"/>
        </w:rPr>
      </w:pPr>
      <w:r>
        <w:rPr>
          <w:rFonts w:ascii="Arial" w:hAnsi="Arial" w:eastAsia="等线" w:cs="Arial"/>
        </w:rPr>
        <w:t>为避免 GEO 工作碎片化、短期化，本报告建议将关键工作固化为可持续运行的体系框架。结合行业共识与实践经验，可将 GEO 的主要环节概括为 CREATE 六个模块：</w:t>
      </w:r>
    </w:p>
    <w:p w14:paraId="0F1566E3">
      <w:pPr>
        <w:pStyle w:val="31"/>
        <w:numPr>
          <w:ilvl w:val="0"/>
          <w:numId w:val="2"/>
        </w:numPr>
        <w:spacing w:before="120" w:after="120" w:line="288" w:lineRule="auto"/>
        <w:rPr>
          <w:rFonts w:ascii="Arial" w:hAnsi="Arial" w:eastAsia="等线" w:cs="Arial"/>
        </w:rPr>
      </w:pPr>
      <w:r>
        <w:rPr>
          <w:rFonts w:ascii="Arial" w:hAnsi="Arial" w:eastAsia="等线" w:cs="Arial"/>
        </w:rPr>
        <w:t>内容结构优化（Content Structuring），强调关键段落的结构清晰与信息密度；</w:t>
      </w:r>
    </w:p>
    <w:p w14:paraId="4318D740">
      <w:pPr>
        <w:pStyle w:val="31"/>
        <w:numPr>
          <w:ilvl w:val="0"/>
          <w:numId w:val="2"/>
        </w:numPr>
        <w:spacing w:before="120" w:after="120" w:line="288" w:lineRule="auto"/>
        <w:rPr>
          <w:rFonts w:ascii="Arial" w:hAnsi="Arial" w:eastAsia="等线" w:cs="Arial"/>
        </w:rPr>
      </w:pPr>
      <w:r>
        <w:rPr>
          <w:rFonts w:ascii="Arial" w:hAnsi="Arial" w:eastAsia="等线" w:cs="Arial"/>
        </w:rPr>
        <w:t>可靠性与权威建设（Reliability），强调引用资产与第三方背书</w:t>
      </w:r>
      <w:r>
        <w:rPr>
          <w:rFonts w:hint="eastAsia" w:ascii="Arial" w:hAnsi="Arial" w:eastAsia="等线" w:cs="Arial"/>
        </w:rPr>
        <w:t>；</w:t>
      </w:r>
    </w:p>
    <w:p w14:paraId="2B06825A">
      <w:pPr>
        <w:pStyle w:val="31"/>
        <w:numPr>
          <w:ilvl w:val="0"/>
          <w:numId w:val="2"/>
        </w:numPr>
        <w:spacing w:before="120" w:after="120" w:line="288" w:lineRule="auto"/>
        <w:rPr>
          <w:rFonts w:ascii="Arial" w:hAnsi="Arial" w:eastAsia="等线" w:cs="Arial"/>
        </w:rPr>
      </w:pPr>
      <w:r>
        <w:rPr>
          <w:rFonts w:ascii="Arial" w:hAnsi="Arial" w:eastAsia="等线" w:cs="Arial"/>
        </w:rPr>
        <w:t>实体管理（Entity），强调品牌实体清晰可识别、语义边界稳定；</w:t>
      </w:r>
    </w:p>
    <w:p w14:paraId="33C370D7">
      <w:pPr>
        <w:spacing w:before="120" w:after="120" w:line="288" w:lineRule="auto"/>
      </w:pPr>
      <w:r>
        <w:rPr>
          <w:rFonts w:hint="eastAsia" w:ascii="Arial" w:hAnsi="Arial" w:eastAsia="等线" w:cs="Arial"/>
        </w:rPr>
        <w:t xml:space="preserve">4. </w:t>
      </w:r>
      <w:r>
        <w:rPr>
          <w:rFonts w:ascii="Arial" w:hAnsi="Arial" w:eastAsia="等线" w:cs="Arial"/>
        </w:rPr>
        <w:t>答案资产建设（Answer Assets），强调围绕</w:t>
      </w:r>
      <w:r>
        <w:rPr>
          <w:rFonts w:hint="eastAsia" w:ascii="Arial" w:hAnsi="Arial" w:eastAsia="等线" w:cs="Arial"/>
        </w:rPr>
        <w:t>问题集</w:t>
      </w:r>
      <w:r>
        <w:rPr>
          <w:rFonts w:ascii="Arial" w:hAnsi="Arial" w:eastAsia="等线" w:cs="Arial"/>
        </w:rPr>
        <w:t>持续供给可用答案单元；</w:t>
      </w:r>
    </w:p>
    <w:p w14:paraId="6BCCC025">
      <w:pPr>
        <w:spacing w:before="120" w:after="120" w:line="288" w:lineRule="auto"/>
      </w:pPr>
      <w:r>
        <w:rPr>
          <w:rFonts w:hint="eastAsia" w:ascii="Arial" w:hAnsi="Arial" w:eastAsia="等线" w:cs="Arial"/>
        </w:rPr>
        <w:t xml:space="preserve">5. </w:t>
      </w:r>
      <w:r>
        <w:rPr>
          <w:rFonts w:ascii="Arial" w:hAnsi="Arial" w:eastAsia="等线" w:cs="Arial"/>
        </w:rPr>
        <w:t>技术可访问性（Technical Readiness），强调内容可抓取、可解析、可切块；</w:t>
      </w:r>
    </w:p>
    <w:p w14:paraId="28F435B1">
      <w:pPr>
        <w:spacing w:before="120" w:after="120" w:line="288" w:lineRule="auto"/>
      </w:pPr>
      <w:r>
        <w:rPr>
          <w:rFonts w:hint="eastAsia" w:ascii="Arial" w:hAnsi="Arial" w:eastAsia="等线" w:cs="Arial"/>
        </w:rPr>
        <w:t xml:space="preserve">6. </w:t>
      </w:r>
      <w:r>
        <w:rPr>
          <w:rFonts w:ascii="Arial" w:hAnsi="Arial" w:eastAsia="等线" w:cs="Arial"/>
        </w:rPr>
        <w:t>生态存在（Ecosystem Presence），强调在生成式引擎优先信源与平台知识体系中的持续出现。</w:t>
      </w:r>
    </w:p>
    <w:p w14:paraId="3BBC9082">
      <w:pPr>
        <w:spacing w:before="120" w:after="120" w:line="288" w:lineRule="auto"/>
      </w:pPr>
      <w:r>
        <w:rPr>
          <w:rFonts w:ascii="Arial" w:hAnsi="Arial" w:eastAsia="等线" w:cs="Arial"/>
        </w:rPr>
        <w:t>需要强调的是，CREATE 并非一次性项目清单，而更像“运行机制”：品牌需要以</w:t>
      </w:r>
      <w:r>
        <w:rPr>
          <w:rFonts w:hint="eastAsia" w:ascii="Arial" w:hAnsi="Arial" w:eastAsia="等线" w:cs="Arial"/>
        </w:rPr>
        <w:t>问题集</w:t>
      </w:r>
      <w:r>
        <w:rPr>
          <w:rFonts w:ascii="Arial" w:hAnsi="Arial" w:eastAsia="等线" w:cs="Arial"/>
        </w:rPr>
        <w:t>为牵引，以答案资产为供给，以引用资产提升可信度，并通过持续监测与迭代保持语义定位的一致性。只有当这些环节形成闭环，GEO 才能从“偶尔有效”走向“稳定有效”。</w:t>
      </w:r>
    </w:p>
    <w:p w14:paraId="4C009076">
      <w:pPr>
        <w:widowControl/>
        <w:rPr>
          <w:sz w:val="12"/>
          <w:szCs w:val="12"/>
        </w:rPr>
      </w:pPr>
      <w:r>
        <w:br w:type="page"/>
      </w:r>
    </w:p>
    <w:p w14:paraId="4CB2D269">
      <w:pPr>
        <w:pStyle w:val="47"/>
        <w:rPr>
          <w:rFonts w:hint="eastAsia" w:ascii="等线" w:hAnsi="等线" w:eastAsia="等线" w:cs="等线"/>
          <w:sz w:val="40"/>
          <w:szCs w:val="40"/>
        </w:rPr>
      </w:pPr>
      <w:bookmarkStart w:id="58" w:name="_Toc27091"/>
      <w:r>
        <w:t xml:space="preserve">第七章 </w:t>
      </w:r>
      <w:r>
        <w:rPr>
          <w:rFonts w:hint="eastAsia" w:ascii="等线" w:hAnsi="等线" w:eastAsia="等线" w:cs="等线"/>
          <w:sz w:val="32"/>
          <w:szCs w:val="32"/>
        </w:rPr>
        <w:t>指标体系：从“点击”到“品牌在AI中的表现与治理”</w:t>
      </w:r>
      <w:bookmarkEnd w:id="58"/>
    </w:p>
    <w:p w14:paraId="033EF44B">
      <w:pPr>
        <w:pStyle w:val="48"/>
      </w:pPr>
      <w:bookmarkStart w:id="59" w:name="_Toc223693327"/>
      <w:bookmarkStart w:id="60" w:name="heading_34"/>
      <w:bookmarkStart w:id="61" w:name="_Toc1695"/>
      <w:r>
        <w:rPr>
          <w:rFonts w:hint="eastAsia"/>
        </w:rPr>
        <w:t>7</w:t>
      </w:r>
      <w:r>
        <w:t>.1 为什么</w:t>
      </w:r>
      <w:r>
        <w:rPr>
          <w:rFonts w:hint="eastAsia"/>
        </w:rPr>
        <w:t>需要</w:t>
      </w:r>
      <w:r>
        <w:t>重</w:t>
      </w:r>
      <w:r>
        <w:rPr>
          <w:rFonts w:hint="eastAsia"/>
        </w:rPr>
        <w:t>建</w:t>
      </w:r>
      <w:r>
        <w:t>指标</w:t>
      </w:r>
      <w:bookmarkEnd w:id="59"/>
      <w:bookmarkEnd w:id="60"/>
      <w:bookmarkEnd w:id="61"/>
    </w:p>
    <w:p w14:paraId="212E952C">
      <w:pPr>
        <w:spacing w:before="120" w:after="120" w:line="288" w:lineRule="auto"/>
        <w:rPr>
          <w:rFonts w:ascii="等线" w:hAnsi="等线" w:eastAsia="等线" w:cs="Arial"/>
        </w:rPr>
      </w:pPr>
      <w:r>
        <w:rPr>
          <w:rFonts w:ascii="等线" w:hAnsi="等线" w:eastAsia="等线" w:cs="Arial"/>
        </w:rPr>
        <w:t>在传统数字营销体系中，曝光、点击、转化、排名等指标之所以长期有效，根本原因在于用户获取信息的路径高度依赖“跳转”：用户看到结果后需要点开链接，进入页面</w:t>
      </w:r>
      <w:r>
        <w:rPr>
          <w:rFonts w:hint="eastAsia" w:ascii="等线" w:hAnsi="等线" w:eastAsia="等线" w:cs="Arial"/>
        </w:rPr>
        <w:t>。</w:t>
      </w:r>
      <w:r>
        <w:rPr>
          <w:rFonts w:ascii="等线" w:hAnsi="等线" w:eastAsia="等线" w:cs="Arial"/>
        </w:rPr>
        <w:t>再进一步了解并完成决策。对品牌而言，能否获得点击既代表被看见，也代表进入了用户的考虑范围，因此点击率、访问量、转化漏斗可以较为直接地反映营销动作的效果。</w:t>
      </w:r>
    </w:p>
    <w:p w14:paraId="131D8E1C">
      <w:pPr>
        <w:spacing w:before="120" w:after="120" w:line="288" w:lineRule="auto"/>
        <w:rPr>
          <w:rFonts w:ascii="等线" w:hAnsi="等线" w:eastAsia="等线" w:cs="Arial"/>
        </w:rPr>
      </w:pPr>
      <w:r>
        <w:rPr>
          <w:rFonts w:ascii="等线" w:hAnsi="等线" w:eastAsia="等线" w:cs="Arial"/>
        </w:rPr>
        <w:t>生成式引擎的普及改变了这一前提。越来越多用户在对话界面中直接获得结论与建议，很多比较与筛选在“点击发生之前”就已经完成，甚至在某些场景中不再需要点击。这并不意味着品牌不再需要转化，而是意味着转化前的关键影响环节从“页面访问”迁移到“答案形成”。因此，继续用点击、排名来衡量生成式场景下的品牌影响力，容易出现一种错位：数据看起来仍然可观，但品牌在关键问题上的推荐顺位与被纳入候选集合的概率可能已经发生变化，而这种变化往往不容易通过传统漏斗及时捕捉。</w:t>
      </w:r>
    </w:p>
    <w:p w14:paraId="6FE17979">
      <w:pPr>
        <w:spacing w:before="120" w:after="120" w:line="288" w:lineRule="auto"/>
        <w:rPr>
          <w:rFonts w:ascii="等线" w:hAnsi="等线" w:eastAsia="等线" w:cs="Arial"/>
        </w:rPr>
      </w:pPr>
      <w:r>
        <w:rPr>
          <w:rFonts w:ascii="等线" w:hAnsi="等线" w:eastAsia="等线" w:cs="Arial"/>
        </w:rPr>
        <w:t>在“答案时代”，衡量体系需要回答一个更直接的问题：当用户把初筛与判断交给生成式系统时，品牌在系统的答案中处于什么位置，是否被采纳、以何种方式被采纳，以及这种采纳是否具有稳定性与可复用性。只有当指标体系能够反映这一层面的变化，GEO 的投入产出才可能被管理、被复盘并形成长期积累。</w:t>
      </w:r>
    </w:p>
    <w:p w14:paraId="37FE04BA">
      <w:pPr>
        <w:spacing w:before="120" w:after="120" w:line="288" w:lineRule="auto"/>
        <w:rPr>
          <w:rFonts w:ascii="等线" w:hAnsi="等线" w:eastAsia="等线"/>
        </w:rPr>
      </w:pPr>
    </w:p>
    <w:p w14:paraId="27083175">
      <w:pPr>
        <w:pStyle w:val="48"/>
      </w:pPr>
      <w:bookmarkStart w:id="62" w:name="heading_35"/>
      <w:bookmarkStart w:id="63" w:name="_Toc223693328"/>
      <w:bookmarkStart w:id="64" w:name="_Toc11156"/>
      <w:r>
        <w:rPr>
          <w:rFonts w:hint="eastAsia"/>
        </w:rPr>
        <w:t>7</w:t>
      </w:r>
      <w:r>
        <w:t>.</w:t>
      </w:r>
      <w:r>
        <w:rPr>
          <w:rFonts w:hint="eastAsia"/>
        </w:rPr>
        <w:t>2</w:t>
      </w:r>
      <w:r>
        <w:t xml:space="preserve"> 核心衡量对象：品牌“影响答案”的能力</w:t>
      </w:r>
      <w:bookmarkEnd w:id="62"/>
      <w:bookmarkEnd w:id="63"/>
      <w:bookmarkEnd w:id="64"/>
    </w:p>
    <w:p w14:paraId="005E1FD6">
      <w:pPr>
        <w:spacing w:before="120" w:after="120" w:line="288" w:lineRule="auto"/>
        <w:rPr>
          <w:rFonts w:ascii="等线" w:hAnsi="等线" w:eastAsia="等线" w:cs="Arial"/>
        </w:rPr>
      </w:pPr>
      <w:r>
        <w:rPr>
          <w:rFonts w:ascii="等线" w:hAnsi="等线" w:eastAsia="等线" w:cs="Arial"/>
        </w:rPr>
        <w:t>在生成式引擎中，品牌影响力的核心不再仅是“带来多少访问”，而更接近“影响了多少结论”。通俗地说，品牌要衡量的不只是用户是否来到品牌页面，而是用户在提出关键问题时，系统是否把品牌纳入答案、是否将其视为较优选择、是否给出明确理由，以及是否引用了可验证的证据来源。这类衡量更贴近生成式环境的真实决策路径，也更能反映品牌在AI入口中的可见性与竞争地位。</w:t>
      </w:r>
    </w:p>
    <w:p w14:paraId="35F80F69">
      <w:pPr>
        <w:spacing w:before="120" w:after="120" w:line="288" w:lineRule="auto"/>
        <w:rPr>
          <w:rFonts w:ascii="等线" w:hAnsi="等线" w:eastAsia="等线" w:cs="Arial"/>
        </w:rPr>
      </w:pPr>
      <w:r>
        <w:rPr>
          <w:rFonts w:ascii="等线" w:hAnsi="等线" w:eastAsia="等线" w:cs="Arial"/>
        </w:rPr>
        <w:t>基于这一思路，本章提出四类关键指标：答案份额（Share of Answer）、AI引用率（AI Citation Rate）、认知一致性（Cognitive Consistency）与情感倾向（Sentiment Orientation）。这四类指标分别对应“是否被纳入答案”“是否被当作可信依据”“系统对品牌的判断是否稳定”“系统对品牌的总体评价是否存在风险化倾向”，共同构成 AI 时代较为完整的衡量框架，并可进一步汇聚为 AIBE（AI 品牌资产）的量化管理视角。</w:t>
      </w:r>
    </w:p>
    <w:p w14:paraId="0874119B">
      <w:pPr>
        <w:spacing w:before="120" w:after="120" w:line="288" w:lineRule="auto"/>
        <w:rPr>
          <w:rFonts w:ascii="等线" w:hAnsi="等线" w:eastAsia="等线"/>
        </w:rPr>
      </w:pPr>
    </w:p>
    <w:p w14:paraId="67D41CBB">
      <w:pPr>
        <w:pStyle w:val="48"/>
      </w:pPr>
      <w:bookmarkStart w:id="65" w:name="_Toc223693329"/>
      <w:bookmarkStart w:id="66" w:name="heading_36"/>
      <w:bookmarkStart w:id="67" w:name="_Toc16927"/>
      <w:r>
        <w:rPr>
          <w:rFonts w:hint="eastAsia"/>
        </w:rPr>
        <w:t>7</w:t>
      </w:r>
      <w:r>
        <w:t>.</w:t>
      </w:r>
      <w:r>
        <w:rPr>
          <w:rFonts w:hint="eastAsia"/>
        </w:rPr>
        <w:t>3</w:t>
      </w:r>
      <w:r>
        <w:t xml:space="preserve"> 答案份额（SoA）</w:t>
      </w:r>
      <w:r>
        <w:rPr>
          <w:rFonts w:hint="eastAsia"/>
        </w:rPr>
        <w:t>指标</w:t>
      </w:r>
      <w:r>
        <w:t>：在关键问题中“占了多少答案位置”</w:t>
      </w:r>
      <w:bookmarkEnd w:id="65"/>
      <w:bookmarkEnd w:id="66"/>
      <w:bookmarkEnd w:id="67"/>
    </w:p>
    <w:p w14:paraId="4F5F1F54">
      <w:pPr>
        <w:spacing w:before="120" w:after="120" w:line="288" w:lineRule="auto"/>
        <w:rPr>
          <w:rFonts w:ascii="等线" w:hAnsi="等线" w:eastAsia="等线" w:cs="Arial"/>
        </w:rPr>
      </w:pPr>
      <w:r>
        <w:rPr>
          <w:rFonts w:ascii="等线" w:hAnsi="等线" w:eastAsia="等线" w:cs="Arial"/>
        </w:rPr>
        <w:t>答案份额（Share of Answer，简称 SoA）可以理解为生成式环境中的“品牌市占率”或“心智份额”的对应物，它衡量的是：在一组事先定义的高价值问题集中，品牌在生成式答案中出现的比例及其综合权重。与传统“被提及次数”不同，SoA 不是简单统计是否出现，而是试图刻画品牌在答案中的实际地位，因为在生成式回答中，“出现”本身并不等同于“被推荐”。</w:t>
      </w:r>
    </w:p>
    <w:p w14:paraId="0F41BADA">
      <w:pPr>
        <w:spacing w:before="120" w:after="120" w:line="288" w:lineRule="auto"/>
        <w:rPr>
          <w:rFonts w:ascii="等线" w:hAnsi="等线" w:eastAsia="等线" w:cs="Arial"/>
        </w:rPr>
      </w:pPr>
      <w:r>
        <w:rPr>
          <w:rFonts w:ascii="等线" w:hAnsi="等线" w:eastAsia="等线" w:cs="Arial"/>
        </w:rPr>
        <w:t>从可操作角度看，SoA 通常至少包含三个层面的权重考虑。第一是提及率，即在多少问题中品牌被纳入答案，反映品牌是否进入候选集合的基本概率。第二是角色权重，即品牌在答案中被呈现为“首要推荐”“备选方案”还是“风险提醒或反例”，不同角色对决策影响差异显著。第三是顺位与显著性，即当答案以列表或分层结构呈现时，品牌出现的位置是否靠前，理由是否明确、篇幅是否充分，反映系统对品牌的确定性程度。通过对问题集进行长期、周期性的测试，SoA 可以用于观察品牌在生成式入口中的总体占位变化，并与竞品进行横向比较，为管理层提供更接近真实决策影响力的指标依据。</w:t>
      </w:r>
    </w:p>
    <w:p w14:paraId="67A9EECC">
      <w:pPr>
        <w:spacing w:before="120" w:after="120" w:line="288" w:lineRule="auto"/>
        <w:rPr>
          <w:rFonts w:ascii="等线" w:hAnsi="等线" w:eastAsia="等线"/>
        </w:rPr>
      </w:pPr>
    </w:p>
    <w:p w14:paraId="7D3AEB63">
      <w:pPr>
        <w:pStyle w:val="48"/>
      </w:pPr>
      <w:bookmarkStart w:id="68" w:name="_Toc223693330"/>
      <w:bookmarkStart w:id="69" w:name="heading_37"/>
      <w:bookmarkStart w:id="70" w:name="_Toc18413"/>
      <w:r>
        <w:rPr>
          <w:rFonts w:hint="eastAsia"/>
        </w:rPr>
        <w:t>7</w:t>
      </w:r>
      <w:r>
        <w:t>.</w:t>
      </w:r>
      <w:r>
        <w:rPr>
          <w:rFonts w:hint="eastAsia"/>
        </w:rPr>
        <w:t>4</w:t>
      </w:r>
      <w:r>
        <w:t xml:space="preserve"> 引用率</w:t>
      </w:r>
      <w:r>
        <w:rPr>
          <w:rFonts w:hint="eastAsia"/>
        </w:rPr>
        <w:t>指标</w:t>
      </w:r>
      <w:r>
        <w:t>：品牌是否被当作“可信证据”使用</w:t>
      </w:r>
      <w:bookmarkEnd w:id="68"/>
      <w:bookmarkEnd w:id="69"/>
      <w:bookmarkEnd w:id="70"/>
    </w:p>
    <w:p w14:paraId="586528A7">
      <w:pPr>
        <w:spacing w:before="120" w:after="120" w:line="288" w:lineRule="auto"/>
        <w:rPr>
          <w:rFonts w:ascii="等线" w:hAnsi="等线" w:eastAsia="等线" w:cs="Arial"/>
        </w:rPr>
      </w:pPr>
      <w:r>
        <w:rPr>
          <w:rFonts w:ascii="等线" w:hAnsi="等线" w:eastAsia="等线" w:cs="Arial"/>
        </w:rPr>
        <w:t>如果说 SoA 主要衡量品牌在答案中的“占位”，那么 AI 引用率更直接衡量品牌在答案中的“可信度”。在生成式引擎的工作机制中，尤其当问题具有较高决策价值或存在风险属性时，系统往往更依赖可验证来源来支撑结论。此时，品牌相关内容能否成为被引用的证据来源，将显著影响品牌在不同问题中的可复用性与长期稳定出现概率。</w:t>
      </w:r>
    </w:p>
    <w:p w14:paraId="3BD579E4">
      <w:pPr>
        <w:spacing w:before="120" w:after="120" w:line="288" w:lineRule="auto"/>
        <w:rPr>
          <w:rFonts w:ascii="等线" w:hAnsi="等线" w:eastAsia="等线" w:cs="Arial"/>
        </w:rPr>
      </w:pPr>
      <w:r>
        <w:rPr>
          <w:rFonts w:ascii="等线" w:hAnsi="等线" w:eastAsia="等线" w:cs="Arial"/>
        </w:rPr>
        <w:t>AI 引用率可以从两个维度来理解：一是引用频次，即品牌自有资产或与品牌相关的权威材料在生成式答案的引用链中出现的次数与比例；二是引用质量，即被引用信源的权威程度与可验证性，例如来自行业协会、权威媒体、研究机构、标准组织或高可信平台的材料，通常比低质量转载或软文站具有更高权重。需要强调的是，“被提及”往往只是结果呈现，而“被引用”更接近系统形成结论的依据来源。品牌若能够持续提升引用资产的质量与覆盖面，通常更容易在长期形成稳定的答案占位，并在高价值问题上获得更强的推荐确定性。</w:t>
      </w:r>
    </w:p>
    <w:p w14:paraId="07B1F6E6">
      <w:pPr>
        <w:spacing w:before="120" w:after="120" w:line="288" w:lineRule="auto"/>
        <w:rPr>
          <w:rFonts w:ascii="等线" w:hAnsi="等线" w:eastAsia="等线"/>
        </w:rPr>
      </w:pPr>
    </w:p>
    <w:p w14:paraId="51598B94">
      <w:pPr>
        <w:pStyle w:val="48"/>
      </w:pPr>
      <w:bookmarkStart w:id="71" w:name="heading_38"/>
      <w:bookmarkStart w:id="72" w:name="_Toc223693331"/>
      <w:bookmarkStart w:id="73" w:name="_Toc3363"/>
      <w:r>
        <w:rPr>
          <w:rFonts w:hint="eastAsia"/>
        </w:rPr>
        <w:t>7</w:t>
      </w:r>
      <w:r>
        <w:t>.</w:t>
      </w:r>
      <w:r>
        <w:rPr>
          <w:rFonts w:hint="eastAsia"/>
        </w:rPr>
        <w:t>5</w:t>
      </w:r>
      <w:r>
        <w:t xml:space="preserve"> 认知一致性</w:t>
      </w:r>
      <w:r>
        <w:rPr>
          <w:rFonts w:hint="eastAsia"/>
        </w:rPr>
        <w:t>指标</w:t>
      </w:r>
      <w:r>
        <w:t>：系统对品牌的判断是否稳定可复现</w:t>
      </w:r>
      <w:bookmarkEnd w:id="71"/>
      <w:bookmarkEnd w:id="72"/>
      <w:bookmarkEnd w:id="73"/>
    </w:p>
    <w:p w14:paraId="734C852E">
      <w:pPr>
        <w:spacing w:before="120" w:after="120" w:line="288" w:lineRule="auto"/>
        <w:rPr>
          <w:rFonts w:ascii="等线" w:hAnsi="等线" w:eastAsia="等线" w:cs="Arial"/>
        </w:rPr>
      </w:pPr>
      <w:r>
        <w:rPr>
          <w:rFonts w:ascii="等线" w:hAnsi="等线" w:eastAsia="等线" w:cs="Arial"/>
        </w:rPr>
        <w:t>在生成式环境中，很多品牌会遇到一种常见现象：同一品牌在不同问题、不同问法下</w:t>
      </w:r>
      <w:r>
        <w:rPr>
          <w:rFonts w:hint="eastAsia" w:ascii="等线" w:hAnsi="等线" w:eastAsia="等线" w:cs="Arial"/>
        </w:rPr>
        <w:t>系统</w:t>
      </w:r>
      <w:r>
        <w:rPr>
          <w:rFonts w:ascii="等线" w:hAnsi="等线" w:eastAsia="等线" w:cs="Arial"/>
        </w:rPr>
        <w:t>给出的解释与评价差异较大，有时被定位为“专业方案”，有时被描述为“成本较高选项”，甚至在不同场景中被归入不同品类或被关联到不一致的优势点。这类现象的根源往往不是“模型随机”，而更可能来自品牌信息供给的分散与不一致，例如不同渠道表达口径冲突、关键卖点反复变化、边界描述模糊，导致系统在检索与重排环节抽取到不同证据片段，从而输出不同结论。</w:t>
      </w:r>
    </w:p>
    <w:p w14:paraId="599E1C70">
      <w:pPr>
        <w:spacing w:before="120" w:after="120" w:line="288" w:lineRule="auto"/>
        <w:rPr>
          <w:rFonts w:ascii="等线" w:hAnsi="等线" w:eastAsia="等线" w:cs="Arial"/>
        </w:rPr>
      </w:pPr>
      <w:r>
        <w:rPr>
          <w:rFonts w:ascii="等线" w:hAnsi="等线" w:eastAsia="等线" w:cs="Arial"/>
        </w:rPr>
        <w:t>认知一致性（Cognitive Consistency）用于衡量系统对品牌的核心判断是否稳定，即在相同或相近问题下，品牌被推荐或被描述的理由是否一致、关键标签是否稳定、适用边界是否清晰可复现。对生成式引擎而言，一致性意味着更低的不确定性与更可控的风险，因此一致性提升往往与长期可引用能力正相关。对品牌管理而言，认知一致性也是一个重要的治理指标，它提醒品牌必须建立统一、稳定、可验证的知识口径与证据体系，避免“内容很多但口径分裂”，最终导致系统难以形成确定判断。</w:t>
      </w:r>
    </w:p>
    <w:p w14:paraId="21B5CFBA">
      <w:pPr>
        <w:spacing w:before="120" w:after="120" w:line="288" w:lineRule="auto"/>
        <w:rPr>
          <w:rFonts w:ascii="等线" w:hAnsi="等线" w:eastAsia="等线"/>
        </w:rPr>
      </w:pPr>
    </w:p>
    <w:p w14:paraId="56EEE0A5">
      <w:pPr>
        <w:pStyle w:val="48"/>
      </w:pPr>
      <w:bookmarkStart w:id="74" w:name="heading_39"/>
      <w:bookmarkStart w:id="75" w:name="_Toc223693332"/>
      <w:bookmarkStart w:id="76" w:name="_Toc24786"/>
      <w:r>
        <w:rPr>
          <w:rFonts w:hint="eastAsia"/>
        </w:rPr>
        <w:t>7</w:t>
      </w:r>
      <w:r>
        <w:t>.</w:t>
      </w:r>
      <w:r>
        <w:rPr>
          <w:rFonts w:hint="eastAsia"/>
        </w:rPr>
        <w:t>6</w:t>
      </w:r>
      <w:r>
        <w:t xml:space="preserve"> 情感倾向</w:t>
      </w:r>
      <w:r>
        <w:rPr>
          <w:rFonts w:hint="eastAsia"/>
        </w:rPr>
        <w:t>指标</w:t>
      </w:r>
      <w:r>
        <w:t>：生成式环境下负面影响更集中</w:t>
      </w:r>
      <w:bookmarkEnd w:id="74"/>
      <w:bookmarkEnd w:id="75"/>
      <w:bookmarkEnd w:id="76"/>
    </w:p>
    <w:p w14:paraId="252CFE1F">
      <w:pPr>
        <w:spacing w:before="120" w:after="120" w:line="288" w:lineRule="auto"/>
        <w:rPr>
          <w:rFonts w:ascii="等线" w:hAnsi="等线" w:eastAsia="等线" w:cs="Arial"/>
        </w:rPr>
      </w:pPr>
      <w:r>
        <w:rPr>
          <w:rFonts w:ascii="等线" w:hAnsi="等线" w:eastAsia="等线" w:cs="Arial"/>
        </w:rPr>
        <w:t>在传统搜索环境中，负面信息通常以分散形式存在，用户是否点击、是否相信、是否继续阅读仍具有较强主观选择空间；而在生成式环境中，系统可能会将分散的评价与反馈整合为一句或几句“总结性判断”，并以较为客观的语气呈现。这种总结一旦形成，往往比单条差评更具影响力，因为它直接进入答案，成为用户的第一印象与决策依据之一。</w:t>
      </w:r>
    </w:p>
    <w:p w14:paraId="4A1DBF7B">
      <w:pPr>
        <w:spacing w:before="120" w:after="120" w:line="288" w:lineRule="auto"/>
        <w:rPr>
          <w:rFonts w:ascii="等线" w:hAnsi="等线" w:eastAsia="等线" w:cs="Arial"/>
        </w:rPr>
      </w:pPr>
      <w:r>
        <w:rPr>
          <w:rFonts w:ascii="等线" w:hAnsi="等线" w:eastAsia="等线" w:cs="Arial"/>
        </w:rPr>
        <w:t>因此，情感倾向指标不仅关注正负面比例，更重要的是关注系统是否在高价值问题中形成了稳定的风险提示、争议标签或谨慎性表述，以及这些表述出现的频次、强度与触发场景。品牌需要警惕的是，当系统反复在某些问题中给出相似的负面总结时，问题往往不仅是某一条内容的舆情，而可能是品牌在可验证证据与边界表达上的缺口，导致系统只能在不确定性下采取更保守的表述方式。对于这类风险化倾向，治理重点通常应回到证据链建设与口径一致性修复，而非仅做表面“压负面”。</w:t>
      </w:r>
    </w:p>
    <w:p w14:paraId="7247B1D0">
      <w:pPr>
        <w:spacing w:before="120" w:after="120" w:line="288" w:lineRule="auto"/>
        <w:rPr>
          <w:rFonts w:ascii="等线" w:hAnsi="等线" w:eastAsia="等线"/>
        </w:rPr>
      </w:pPr>
    </w:p>
    <w:p w14:paraId="437D7A7D">
      <w:pPr>
        <w:pStyle w:val="48"/>
      </w:pPr>
      <w:bookmarkStart w:id="77" w:name="_Toc223693333"/>
      <w:bookmarkStart w:id="78" w:name="heading_40"/>
      <w:bookmarkStart w:id="79" w:name="_Toc17988"/>
      <w:r>
        <w:rPr>
          <w:rFonts w:hint="eastAsia"/>
        </w:rPr>
        <w:t>7</w:t>
      </w:r>
      <w:r>
        <w:t>.</w:t>
      </w:r>
      <w:r>
        <w:rPr>
          <w:rFonts w:hint="eastAsia"/>
        </w:rPr>
        <w:t>7</w:t>
      </w:r>
      <w:r>
        <w:t xml:space="preserve"> AIBE：将指标收敛为“可管理的 AI 品牌资产”</w:t>
      </w:r>
      <w:bookmarkEnd w:id="77"/>
      <w:bookmarkEnd w:id="78"/>
      <w:bookmarkEnd w:id="79"/>
    </w:p>
    <w:p w14:paraId="3FD0E5E7">
      <w:pPr>
        <w:spacing w:before="120" w:after="120" w:line="288" w:lineRule="auto"/>
        <w:rPr>
          <w:rFonts w:ascii="等线" w:hAnsi="等线" w:eastAsia="等线" w:cs="Arial"/>
        </w:rPr>
      </w:pPr>
      <w:r>
        <w:rPr>
          <w:rFonts w:ascii="等线" w:hAnsi="等线" w:eastAsia="等线" w:cs="Arial"/>
        </w:rPr>
        <w:t>当</w:t>
      </w:r>
      <w:r>
        <w:rPr>
          <w:rFonts w:hint="eastAsia" w:ascii="等线" w:hAnsi="等线" w:eastAsia="等线" w:cs="Arial"/>
        </w:rPr>
        <w:t>KNIT、</w:t>
      </w:r>
      <w:r>
        <w:rPr>
          <w:rFonts w:ascii="等线" w:hAnsi="等线" w:eastAsia="等线" w:cs="Arial"/>
        </w:rPr>
        <w:t>SoA、引用率、一致性与情感倾向等指标形成体系化监测后，品牌即可获得一幅更贴近生成式环境的资产画像：品牌在关键问题中是否进入候选集合，是否能以可信理由被推荐，系统认知是否稳定，以及是否存在风险化总结的长期趋势。基于此，本报告提出以 AIBE（AI 品牌资产）作为上层管理视角，将分散指标收敛为可长期追踪的资产变化，并据此评估</w:t>
      </w:r>
      <w:r>
        <w:rPr>
          <w:rFonts w:hint="eastAsia" w:ascii="等线" w:hAnsi="等线" w:eastAsia="等线" w:cs="Arial"/>
          <w:lang w:val="en-US" w:eastAsia="zh-CN"/>
        </w:rPr>
        <w:t>生成式内容优化</w:t>
      </w:r>
      <w:r>
        <w:rPr>
          <w:rFonts w:ascii="等线" w:hAnsi="等线" w:eastAsia="等线" w:cs="Arial"/>
        </w:rPr>
        <w:t>的阶段性效果与长期积累。</w:t>
      </w:r>
    </w:p>
    <w:p w14:paraId="4C109640">
      <w:pPr>
        <w:spacing w:before="120" w:after="120" w:line="288" w:lineRule="auto"/>
        <w:rPr>
          <w:rFonts w:ascii="等线" w:hAnsi="等线" w:eastAsia="等线" w:cs="Arial"/>
        </w:rPr>
      </w:pPr>
      <w:r>
        <w:rPr>
          <w:rFonts w:ascii="等线" w:hAnsi="等线" w:eastAsia="等线" w:cs="Arial"/>
        </w:rPr>
        <w:t>需要说明的是，AIBE 的价值不在于提供单一“评分”，而在于帮助品牌建立一套可复盘的治理体系：通过问题集定义与周期性测试管理 SoA，通过引用资产建设提升引用率，通过口径治理提升一致性，通过证据补强与风险说明修复情感倾向，从而在生成式入口中形成更稳定、更可持续的竞争优势。</w:t>
      </w:r>
    </w:p>
    <w:p w14:paraId="3360EC18">
      <w:pPr>
        <w:spacing w:before="120" w:after="120" w:line="288" w:lineRule="auto"/>
        <w:rPr>
          <w:rFonts w:ascii="等线" w:hAnsi="等线" w:eastAsia="等线"/>
        </w:rPr>
      </w:pPr>
    </w:p>
    <w:p w14:paraId="284E1C34">
      <w:pPr>
        <w:pStyle w:val="48"/>
      </w:pPr>
      <w:bookmarkStart w:id="80" w:name="_Toc21788"/>
      <w:r>
        <w:t>7.</w:t>
      </w:r>
      <w:r>
        <w:rPr>
          <w:rFonts w:hint="eastAsia"/>
        </w:rPr>
        <w:t>8</w:t>
      </w:r>
      <w:r>
        <w:t xml:space="preserve"> AIBV 指数体系：面向</w:t>
      </w:r>
      <w:r>
        <w:rPr>
          <w:rFonts w:hint="eastAsia"/>
          <w:lang w:val="en-US" w:eastAsia="zh-CN"/>
        </w:rPr>
        <w:t>生成式内容</w:t>
      </w:r>
      <w:r>
        <w:t>的统一评估框架</w:t>
      </w:r>
      <w:bookmarkEnd w:id="80"/>
    </w:p>
    <w:p w14:paraId="579CB54E">
      <w:pPr>
        <w:spacing w:before="120" w:after="120" w:line="288" w:lineRule="auto"/>
        <w:rPr>
          <w:rFonts w:ascii="等线" w:hAnsi="等线" w:eastAsia="等线" w:cs="Arial"/>
        </w:rPr>
      </w:pPr>
      <w:r>
        <w:rPr>
          <w:rFonts w:ascii="等线" w:hAnsi="等线" w:eastAsia="等线" w:cs="Arial"/>
        </w:rPr>
        <w:t>为使本报告提出的“答案时代指标”能够在不同模型、不同入口与不同时间窗口下被一致理解与复现测量，本报告建议采用《AI 品牌资产表现指数体系》（AIBV）作为统一评估框架。</w:t>
      </w:r>
    </w:p>
    <w:p w14:paraId="31E456F1">
      <w:pPr>
        <w:spacing w:before="120" w:after="120" w:line="288" w:lineRule="auto"/>
        <w:rPr>
          <w:rFonts w:ascii="等线" w:hAnsi="等线" w:eastAsia="等线" w:cs="Arial"/>
        </w:rPr>
      </w:pPr>
      <w:r>
        <w:rPr>
          <w:rFonts w:ascii="等线" w:hAnsi="等线" w:eastAsia="等线" w:cs="Arial"/>
        </w:rPr>
        <w:t>在 AIBV 1.0 体系中，</w:t>
      </w:r>
      <w:r>
        <w:rPr>
          <w:rFonts w:cs="Arial"/>
        </w:rPr>
        <w:t>可信知识网络（KNIT）</w:t>
      </w:r>
      <w:r>
        <w:rPr>
          <w:rFonts w:ascii="等线" w:hAnsi="等线" w:eastAsia="等线" w:cs="Arial"/>
        </w:rPr>
        <w:t>的应用显著提升了“方法置信度（MCI）”与“证据可追溯度（A3）”。通过 KNIT 的真实世界验证与权威事实锚定，品牌能够有效识别并剔除那些通过“GEO 工具一键分发”产生的同质化网页，确保品牌的 SoA（答案份额）是建立在真实公信力之上。</w:t>
      </w:r>
    </w:p>
    <w:p w14:paraId="1FE81AB8">
      <w:pPr>
        <w:widowControl/>
        <w:rPr>
          <w:sz w:val="12"/>
          <w:szCs w:val="12"/>
        </w:rPr>
      </w:pPr>
      <w:r>
        <w:br w:type="page"/>
      </w:r>
    </w:p>
    <w:p w14:paraId="2655BD0B">
      <w:pPr>
        <w:pStyle w:val="47"/>
      </w:pPr>
      <w:bookmarkStart w:id="81" w:name="heading_50"/>
      <w:bookmarkStart w:id="82" w:name="_Toc223693335"/>
      <w:bookmarkStart w:id="83" w:name="_Toc2295"/>
      <w:r>
        <w:t>第</w:t>
      </w:r>
      <w:r>
        <w:rPr>
          <w:rFonts w:hint="eastAsia"/>
        </w:rPr>
        <w:t>八</w:t>
      </w:r>
      <w:r>
        <w:t>章 未来3</w:t>
      </w:r>
      <w:r>
        <w:rPr>
          <w:rFonts w:hint="eastAsia"/>
        </w:rPr>
        <w:t>年</w:t>
      </w:r>
      <w:r>
        <w:t>趋</w:t>
      </w:r>
      <w:bookmarkEnd w:id="81"/>
      <w:r>
        <w:rPr>
          <w:rFonts w:hint="eastAsia"/>
        </w:rPr>
        <w:t>势和机会</w:t>
      </w:r>
      <w:bookmarkEnd w:id="82"/>
      <w:bookmarkEnd w:id="83"/>
    </w:p>
    <w:p w14:paraId="42420B50">
      <w:pPr>
        <w:pStyle w:val="48"/>
      </w:pPr>
      <w:bookmarkStart w:id="84" w:name="heading_51"/>
      <w:bookmarkStart w:id="85" w:name="_Toc223693336"/>
      <w:bookmarkStart w:id="86" w:name="_Toc12907"/>
      <w:r>
        <w:rPr>
          <w:rFonts w:hint="eastAsia"/>
        </w:rPr>
        <w:t>8</w:t>
      </w:r>
      <w:r>
        <w:t>.1 决策链路的前移：AI 正在承担“初筛与归纳”的角色</w:t>
      </w:r>
      <w:bookmarkEnd w:id="84"/>
      <w:bookmarkEnd w:id="85"/>
      <w:bookmarkEnd w:id="86"/>
    </w:p>
    <w:p w14:paraId="7AB8DE5D">
      <w:pPr>
        <w:spacing w:before="120" w:after="120" w:line="288" w:lineRule="auto"/>
        <w:rPr>
          <w:rFonts w:ascii="等线" w:hAnsi="等线" w:eastAsia="等线" w:cs="Arial"/>
        </w:rPr>
      </w:pPr>
      <w:r>
        <w:rPr>
          <w:rFonts w:ascii="等线" w:hAnsi="等线" w:eastAsia="等线" w:cs="Arial"/>
        </w:rPr>
        <w:t>生成式引擎进入主流使用之后，用户决策过程正在发生一种较为稳定的结构性变化：过去用户往往先浏览大量分散信息，再逐步形成判断；而现在，越来越多用户倾向于先获得系统给出的综合结论，再在此基础上进行少量核验与执行。这一变化并不意味着用户完全放弃独立判断，而是意味着“信息搜集与初步归纳”这段最耗时、最不确定的环节，正在被更多地外包给生成式系统完成。对品牌而言，真正值得关注的并不是用户是否还会点击链接，而是用户在点击之前就已经形成的“候选集合”是否仍包含自己；换言之，品牌竞争的前线正在从传统的曝光与点击，迁移到生成式答案形成之前的初筛阶段。</w:t>
      </w:r>
    </w:p>
    <w:p w14:paraId="2137A1FA">
      <w:pPr>
        <w:spacing w:before="120" w:after="120" w:line="288" w:lineRule="auto"/>
        <w:rPr>
          <w:rFonts w:ascii="等线" w:hAnsi="等线" w:eastAsia="等线" w:cs="Arial"/>
        </w:rPr>
      </w:pPr>
      <w:r>
        <w:rPr>
          <w:rFonts w:ascii="等线" w:hAnsi="等线" w:eastAsia="等线" w:cs="Arial"/>
        </w:rPr>
        <w:t>在这一趋势下，品牌的增长与影响力将更依赖于其在生成式引擎中的“可被采用能力”。如果品牌能够在关键问题中被稳定召回、被清晰呈现并获得可信理由支撑，就更可能进入用户的考虑范围；相反，如果品牌在答案生成环节长期缺席，即便在传统渠道仍保持一定声量，也可能逐步失去新增场景中的获客机会，并在不易察觉的情况下被边缘化。</w:t>
      </w:r>
    </w:p>
    <w:p w14:paraId="6E4DC7F6">
      <w:pPr>
        <w:spacing w:before="120" w:after="120" w:line="288" w:lineRule="auto"/>
        <w:rPr>
          <w:rFonts w:ascii="等线" w:hAnsi="等线" w:eastAsia="等线" w:cs="Arial"/>
        </w:rPr>
      </w:pPr>
    </w:p>
    <w:p w14:paraId="38FD27E5">
      <w:pPr>
        <w:pStyle w:val="48"/>
      </w:pPr>
      <w:bookmarkStart w:id="87" w:name="_Toc223693337"/>
      <w:bookmarkStart w:id="88" w:name="heading_52"/>
      <w:bookmarkStart w:id="89" w:name="_Toc29810"/>
      <w:r>
        <w:rPr>
          <w:rFonts w:hint="eastAsia"/>
        </w:rPr>
        <w:t>8</w:t>
      </w:r>
      <w:r>
        <w:t>.2 “无声出局”的风险：不被否定，而是不被纳入候选</w:t>
      </w:r>
      <w:bookmarkEnd w:id="87"/>
      <w:bookmarkEnd w:id="88"/>
      <w:bookmarkEnd w:id="89"/>
    </w:p>
    <w:p w14:paraId="62F05BDF">
      <w:pPr>
        <w:spacing w:before="120" w:after="120" w:line="288" w:lineRule="auto"/>
        <w:rPr>
          <w:rFonts w:ascii="等线" w:hAnsi="等线" w:eastAsia="等线" w:cs="Arial"/>
        </w:rPr>
      </w:pPr>
      <w:r>
        <w:rPr>
          <w:rFonts w:ascii="等线" w:hAnsi="等线" w:eastAsia="等线" w:cs="Arial"/>
        </w:rPr>
        <w:t>与搜索时代相比，生成式环境下品牌失败的方式更隐蔽。搜索结果列表仍然保留一定的“长尾机会”，用户可能继续翻页、比对、点开不同链接，从而使排名靠后的品牌仍有一定机会进入视野；而生成式答案的呈现更集中，用户首先接触的是系统合成后的建议与理由，候选集合往往被压缩为少量选项或少量原则。这种集中呈现带来的后果是，品牌如果未被纳入答案，并不是“排得更靠后”，而是“直接缺席”。更重要的是，用户通常难以感知这种缺席，因为他们很少知道系统在合成答案时过滤掉了哪些备选信息。</w:t>
      </w:r>
    </w:p>
    <w:p w14:paraId="3A01787E">
      <w:pPr>
        <w:spacing w:before="120" w:after="120" w:line="288" w:lineRule="auto"/>
        <w:rPr>
          <w:rFonts w:ascii="等线" w:hAnsi="等线" w:eastAsia="等线" w:cs="Arial"/>
        </w:rPr>
      </w:pPr>
      <w:r>
        <w:rPr>
          <w:rFonts w:ascii="等线" w:hAnsi="等线" w:eastAsia="等线" w:cs="Arial"/>
        </w:rPr>
        <w:t>因此，品牌在生成式时代面临的核心风险并不总是“被负面评价”，而更可能是“被忽略”。这种忽略的累积会逐步体现为：某些高价值问题场景下品牌出现频率下降、推荐顺位持续靠后、解释理由不充分或被模糊化，最终在用户心智中失去“可选项”的位置。对品牌管理而言，这要求企业更早建立生成式入口的监测与治理机制，避免在传统指标尚未明显异常时，品牌已经在关键决策链的上游阶段失去存在感。</w:t>
      </w:r>
    </w:p>
    <w:p w14:paraId="657844A0">
      <w:pPr>
        <w:spacing w:before="120" w:after="120" w:line="288" w:lineRule="auto"/>
        <w:rPr>
          <w:rFonts w:ascii="等线" w:hAnsi="等线" w:eastAsia="等线" w:cs="Arial"/>
        </w:rPr>
      </w:pPr>
    </w:p>
    <w:p w14:paraId="51ED9992">
      <w:pPr>
        <w:pStyle w:val="48"/>
      </w:pPr>
      <w:bookmarkStart w:id="90" w:name="heading_53"/>
      <w:bookmarkStart w:id="91" w:name="_Toc223693338"/>
      <w:bookmarkStart w:id="92" w:name="_Toc2792"/>
      <w:r>
        <w:rPr>
          <w:rFonts w:hint="eastAsia"/>
        </w:rPr>
        <w:t>8</w:t>
      </w:r>
      <w:r>
        <w:t xml:space="preserve">.3 </w:t>
      </w:r>
      <w:r>
        <w:rPr>
          <w:rFonts w:hint="eastAsia"/>
        </w:rPr>
        <w:t>品牌智能体</w:t>
      </w:r>
      <w:r>
        <w:t>的趋势：品牌知识将逐步“接口化”</w:t>
      </w:r>
      <w:bookmarkEnd w:id="90"/>
      <w:bookmarkEnd w:id="91"/>
      <w:bookmarkEnd w:id="92"/>
    </w:p>
    <w:p w14:paraId="23296203">
      <w:pPr>
        <w:spacing w:before="120" w:after="120" w:line="288" w:lineRule="auto"/>
        <w:rPr>
          <w:rFonts w:ascii="等线" w:hAnsi="等线" w:eastAsia="等线" w:cs="Arial"/>
        </w:rPr>
      </w:pPr>
      <w:r>
        <w:rPr>
          <w:rFonts w:ascii="等线" w:hAnsi="等线" w:eastAsia="等线" w:cs="Arial"/>
        </w:rPr>
        <w:t>面向未来三到五年，可以预见的一项重要趋势是：品牌将越来越需要以结构化、可验证、可更新的方式向外部系统提供知识与证据，从而降低生成式引擎在回答高价值问题时的不确定性。在更成熟的生态中，品牌可能不再只是被动地被第三方描述，而会以某种形式提供标准化的“知识接口”，使外部系统能够在需要时获取权威信息、边界条件与证据材料。行业中常用</w:t>
      </w:r>
      <w:r>
        <w:rPr>
          <w:rFonts w:hint="eastAsia" w:ascii="等线" w:hAnsi="等线" w:eastAsia="等线" w:cs="Arial"/>
        </w:rPr>
        <w:t>品牌智能体（</w:t>
      </w:r>
      <w:r>
        <w:rPr>
          <w:rFonts w:ascii="等线" w:hAnsi="等线" w:eastAsia="等线" w:cs="Arial"/>
        </w:rPr>
        <w:t>Brand Agent</w:t>
      </w:r>
      <w:r>
        <w:rPr>
          <w:rFonts w:hint="eastAsia" w:ascii="等线" w:hAnsi="等线" w:eastAsia="等线" w:cs="Arial"/>
        </w:rPr>
        <w:t>）</w:t>
      </w:r>
      <w:r>
        <w:rPr>
          <w:rFonts w:ascii="等线" w:hAnsi="等线" w:eastAsia="等线" w:cs="Arial"/>
        </w:rPr>
        <w:t>来描述这一趋势，但其内涵更接近“品牌知识的接口化”而非传统意义上的客服机器人。</w:t>
      </w:r>
    </w:p>
    <w:p w14:paraId="05A1DD1E">
      <w:pPr>
        <w:spacing w:before="120" w:after="120" w:line="288" w:lineRule="auto"/>
        <w:rPr>
          <w:rFonts w:ascii="等线" w:hAnsi="等线" w:eastAsia="等线" w:cs="Arial"/>
        </w:rPr>
      </w:pPr>
      <w:r>
        <w:rPr>
          <w:rFonts w:ascii="等线" w:hAnsi="等线" w:eastAsia="等线" w:cs="Arial"/>
        </w:rPr>
        <w:t>在这一发展方向下，品牌的竞争将呈现更强的“系统对系统”特征。用户侧的个人智能助手、平台侧的生成式引擎以及品牌侧的知识接口之间，将形成更紧密的信息交换与验证关系。此时，品牌优势可能不再主要来自传播强度，而更来自信息供给的可靠程度：是否能够持续提供清晰一致的口径、是否能够给出可核验的证据来源、是否能够明确适用边界并及时更新事实信息。对品牌而言，GEO 将成为这种“接口化能力”的基础工作，因为只有当语义定位清晰、答案资产与引用资产体系健全，品牌才具备被外部系统稳定调用与引用的条件。</w:t>
      </w:r>
    </w:p>
    <w:p w14:paraId="2DAC7B13">
      <w:pPr>
        <w:spacing w:before="120" w:after="120" w:line="288" w:lineRule="auto"/>
        <w:rPr>
          <w:rFonts w:ascii="等线" w:hAnsi="等线" w:eastAsia="等线" w:cs="Arial"/>
        </w:rPr>
      </w:pPr>
    </w:p>
    <w:p w14:paraId="4CFA6410">
      <w:pPr>
        <w:pStyle w:val="48"/>
      </w:pPr>
      <w:bookmarkStart w:id="93" w:name="heading_54"/>
      <w:bookmarkStart w:id="94" w:name="_Toc223693339"/>
      <w:bookmarkStart w:id="95" w:name="_Toc10968"/>
      <w:r>
        <w:rPr>
          <w:rFonts w:hint="eastAsia"/>
        </w:rPr>
        <w:t>8</w:t>
      </w:r>
      <w:r>
        <w:t>.4 品牌分层的新标准：</w:t>
      </w:r>
      <w:r>
        <w:rPr>
          <w:rFonts w:hint="eastAsia"/>
        </w:rPr>
        <w:t>透明</w:t>
      </w:r>
      <w:r>
        <w:t>性、可信度与一致性将决定长期位置</w:t>
      </w:r>
      <w:bookmarkEnd w:id="93"/>
      <w:bookmarkEnd w:id="94"/>
      <w:bookmarkEnd w:id="95"/>
    </w:p>
    <w:p w14:paraId="3CDDA3B0">
      <w:pPr>
        <w:spacing w:before="120" w:after="120" w:line="288" w:lineRule="auto"/>
        <w:rPr>
          <w:rFonts w:ascii="等线" w:hAnsi="等线" w:eastAsia="等线" w:cs="Arial"/>
        </w:rPr>
      </w:pPr>
      <w:r>
        <w:rPr>
          <w:rFonts w:ascii="等线" w:hAnsi="等线" w:eastAsia="等线" w:cs="Arial"/>
        </w:rPr>
        <w:t>随着 2025 年</w:t>
      </w:r>
      <w:r>
        <w:rPr>
          <w:rFonts w:hint="eastAsia" w:ascii="等线" w:hAnsi="等线" w:eastAsia="等线" w:cs="Arial"/>
        </w:rPr>
        <w:t>中国</w:t>
      </w:r>
      <w:r>
        <w:rPr>
          <w:rFonts w:ascii="等线" w:hAnsi="等线" w:eastAsia="等线" w:cs="Arial"/>
        </w:rPr>
        <w:t xml:space="preserve">生成式人工智能用户规模突破 </w:t>
      </w:r>
      <w:r>
        <w:rPr>
          <w:rFonts w:hint="eastAsia" w:ascii="等线" w:hAnsi="等线" w:eastAsia="等线" w:cs="Arial"/>
        </w:rPr>
        <w:t>7</w:t>
      </w:r>
      <w:r>
        <w:rPr>
          <w:rFonts w:ascii="等线" w:hAnsi="等线" w:eastAsia="等线" w:cs="Arial"/>
        </w:rPr>
        <w:t xml:space="preserve"> 亿，普及率超过 36.5%，监管机构对“虚假有害信息”和“不透明算法干预”的打击将常态化。品牌建设 GEO 能力的首要任务不再是“上搜索结果”，而是压实平台主体责任，确保所有进入 AI 语料库的信息真实、可靠、可核验。</w:t>
      </w:r>
    </w:p>
    <w:p w14:paraId="1DDD63AB">
      <w:pPr>
        <w:spacing w:before="120" w:after="120" w:line="288" w:lineRule="auto"/>
        <w:rPr>
          <w:rFonts w:ascii="等线" w:hAnsi="等线" w:eastAsia="等线" w:cs="Arial"/>
        </w:rPr>
      </w:pPr>
      <w:r>
        <w:rPr>
          <w:rFonts w:ascii="等线" w:hAnsi="等线" w:eastAsia="等线" w:cs="Arial"/>
        </w:rPr>
        <w:t>在生成式引擎主导的场景中，品牌之间的竞争将更明显地体现为“</w:t>
      </w:r>
      <w:r>
        <w:rPr>
          <w:rFonts w:hint="eastAsia" w:ascii="等线" w:hAnsi="等线" w:eastAsia="等线" w:cs="Arial"/>
        </w:rPr>
        <w:t>可信度</w:t>
      </w:r>
      <w:r>
        <w:rPr>
          <w:rFonts w:ascii="等线" w:hAnsi="等线" w:eastAsia="等线" w:cs="Arial"/>
        </w:rPr>
        <w:t>”的竞争。系统在回答问题时本质上需要一种</w:t>
      </w:r>
      <w:r>
        <w:rPr>
          <w:rFonts w:hint="eastAsia" w:ascii="等线" w:hAnsi="等线" w:eastAsia="等线" w:cs="Arial"/>
        </w:rPr>
        <w:t>透明可信的</w:t>
      </w:r>
      <w:r>
        <w:rPr>
          <w:rFonts w:ascii="等线" w:hAnsi="等线" w:eastAsia="等线" w:cs="Arial"/>
        </w:rPr>
        <w:t>材料：它需要能够被检索到的内容片段，需要能够支撑结论的证据，需要能够解释边界与风险的说明。当品牌无法提供清晰、可验证且一致的信息时，系统在风险控制与不确定性管理的驱动下往往会采取更保守的选择策略，即减少引用、降低推荐确定性，甚至直接不纳入候选。相反，能够持续提供高信息密度答案单元与可信引用资产的品牌，更容易在多个问题场景中形成复用，从而建立“稳定出现”的优势。</w:t>
      </w:r>
    </w:p>
    <w:p w14:paraId="51454A99">
      <w:pPr>
        <w:spacing w:before="120" w:after="120" w:line="288" w:lineRule="auto"/>
        <w:rPr>
          <w:rFonts w:ascii="等线" w:hAnsi="等线" w:eastAsia="等线" w:cs="Arial"/>
        </w:rPr>
      </w:pPr>
      <w:r>
        <w:rPr>
          <w:rFonts w:ascii="等线" w:hAnsi="等线" w:eastAsia="等线" w:cs="Arial"/>
        </w:rPr>
        <w:t>因此，未来品牌分层的一个重要标准可能不再是“谁的广告更多”或“谁的声量更大”，而是“谁更容易被系统稳定采用”。当这一逻辑逐步成为主流，品牌管理的重点也会相应变化：除了继续经营消费者心智，还需要经营系统心智；除了追求短期传播，还需要追求可验证证据；除了强调优势叙事，还需要明确适用边界与风险说明，从而在生成式环境中形成更高的可信度与稳定性。</w:t>
      </w:r>
    </w:p>
    <w:p w14:paraId="6A4BA140">
      <w:pPr>
        <w:spacing w:before="120" w:after="120" w:line="288" w:lineRule="auto"/>
        <w:rPr>
          <w:rFonts w:ascii="等线" w:hAnsi="等线" w:eastAsia="等线" w:cs="Arial"/>
        </w:rPr>
      </w:pPr>
    </w:p>
    <w:p w14:paraId="72761400">
      <w:pPr>
        <w:pStyle w:val="48"/>
      </w:pPr>
      <w:bookmarkStart w:id="96" w:name="heading_55"/>
      <w:bookmarkStart w:id="97" w:name="_Toc223693340"/>
      <w:bookmarkStart w:id="98" w:name="_Toc30271"/>
      <w:r>
        <w:rPr>
          <w:rFonts w:hint="eastAsia"/>
        </w:rPr>
        <w:t>8</w:t>
      </w:r>
      <w:r>
        <w:t xml:space="preserve">.5 </w:t>
      </w:r>
      <w:r>
        <w:rPr>
          <w:rFonts w:hint="eastAsia" w:ascii="等线" w:hAnsi="等线" w:eastAsia="等线" w:cs="等线"/>
          <w:sz w:val="28"/>
          <w:szCs w:val="28"/>
        </w:rPr>
        <w:t>AI 品牌资产建设</w:t>
      </w:r>
      <w:r>
        <w:t>将进一步基础设施化</w:t>
      </w:r>
      <w:bookmarkEnd w:id="96"/>
      <w:bookmarkEnd w:id="97"/>
      <w:bookmarkEnd w:id="98"/>
    </w:p>
    <w:p w14:paraId="36EA3897">
      <w:pPr>
        <w:spacing w:before="120" w:after="120" w:line="288" w:lineRule="auto"/>
        <w:rPr>
          <w:rFonts w:ascii="等线" w:hAnsi="等线" w:eastAsia="等线" w:cs="Arial"/>
        </w:rPr>
      </w:pPr>
      <w:r>
        <w:rPr>
          <w:rFonts w:ascii="等线" w:hAnsi="等线" w:eastAsia="等线" w:cs="Arial"/>
        </w:rPr>
        <w:t>从更长期尺度看，</w:t>
      </w:r>
      <w:r>
        <w:rPr>
          <w:rFonts w:hint="eastAsia" w:ascii="等线" w:hAnsi="等线" w:eastAsia="等线" w:cs="Arial"/>
          <w:lang w:val="en-US" w:eastAsia="zh-CN"/>
        </w:rPr>
        <w:t>AIPE</w:t>
      </w:r>
      <w:r>
        <w:rPr>
          <w:rFonts w:ascii="等线" w:hAnsi="等线" w:eastAsia="等线" w:cs="Arial"/>
        </w:rPr>
        <w:t xml:space="preserve"> 可能会从“新兴优化项目”演变为企业的常态化能力建设，类似于内容治理、数据治理与合规管理等基础工作。原因在于，生成式入口的影响并非短期现象，而更可能成为日常信息获取与决策支持的重要方式。企业若希望在这一环境下保持稳定的可见性与可被选择性，就需要持续维护语义定位、答案资产与引用资产的质量与一致性，并通过指标体系进行周期性监测与纠偏。</w:t>
      </w:r>
    </w:p>
    <w:p w14:paraId="5289C49B">
      <w:pPr>
        <w:spacing w:before="120" w:after="120" w:line="288" w:lineRule="auto"/>
        <w:rPr>
          <w:rFonts w:ascii="等线" w:hAnsi="等线" w:eastAsia="等线" w:cs="Arial"/>
        </w:rPr>
      </w:pPr>
      <w:r>
        <w:rPr>
          <w:rFonts w:ascii="等线" w:hAnsi="等线" w:eastAsia="等线" w:cs="Arial"/>
        </w:rPr>
        <w:t>在这种基础设施化过程中，</w:t>
      </w:r>
      <w:r>
        <w:rPr>
          <w:rFonts w:hint="eastAsia" w:ascii="等线" w:hAnsi="等线" w:eastAsia="等线" w:cs="Arial"/>
          <w:lang w:val="en-US" w:eastAsia="zh-CN"/>
        </w:rPr>
        <w:t>AIPE</w:t>
      </w:r>
      <w:r>
        <w:rPr>
          <w:rFonts w:ascii="等线" w:hAnsi="等线" w:eastAsia="等线" w:cs="Arial"/>
        </w:rPr>
        <w:t>的组织归属也可能发生变化：它不再只是单一部门的工作，而更可能需要品牌、内容、产品、法务合规与数据团队形成协同。尤其是在涉及风险提示、事实更新与权威引用时，企业需要建立更严格的口径管理与证据管理机制，以确保输出内容的准确性、可追溯性与一致性，从而避免在生成式环境中被系统判定为不可靠或不确定。</w:t>
      </w:r>
    </w:p>
    <w:p w14:paraId="0A4860A7">
      <w:pPr>
        <w:spacing w:before="120" w:after="120" w:line="288" w:lineRule="auto"/>
        <w:rPr>
          <w:rFonts w:ascii="等线" w:hAnsi="等线" w:eastAsia="等线" w:cs="Arial"/>
        </w:rPr>
      </w:pPr>
    </w:p>
    <w:p w14:paraId="15B0A131">
      <w:pPr>
        <w:pStyle w:val="48"/>
      </w:pPr>
      <w:bookmarkStart w:id="99" w:name="heading_56"/>
      <w:bookmarkStart w:id="100" w:name="_Toc223693341"/>
      <w:bookmarkStart w:id="101" w:name="_Toc21208"/>
      <w:r>
        <w:rPr>
          <w:rFonts w:hint="eastAsia"/>
        </w:rPr>
        <w:t>8</w:t>
      </w:r>
      <w:r>
        <w:t>.6 忽</w:t>
      </w:r>
      <w:r>
        <w:rPr>
          <w:rFonts w:hint="eastAsia"/>
        </w:rPr>
        <w:t>视</w:t>
      </w:r>
      <w:r>
        <w:rPr>
          <w:rFonts w:hint="eastAsia"/>
          <w:lang w:val="en-US" w:eastAsia="zh-CN"/>
        </w:rPr>
        <w:t>AIPE</w:t>
      </w:r>
      <w:r>
        <w:t>的代价：逐步退出“被考虑集合”</w:t>
      </w:r>
      <w:bookmarkEnd w:id="99"/>
      <w:bookmarkEnd w:id="100"/>
      <w:bookmarkEnd w:id="101"/>
    </w:p>
    <w:p w14:paraId="342482F5">
      <w:pPr>
        <w:spacing w:before="120" w:after="120" w:line="288" w:lineRule="auto"/>
        <w:rPr>
          <w:rFonts w:ascii="等线" w:hAnsi="等线" w:eastAsia="等线" w:cs="Arial"/>
        </w:rPr>
      </w:pPr>
      <w:r>
        <w:rPr>
          <w:rFonts w:ascii="等线" w:hAnsi="等线" w:eastAsia="等线" w:cs="Arial"/>
        </w:rPr>
        <w:t>对企业而言，是否投入</w:t>
      </w:r>
      <w:r>
        <w:rPr>
          <w:rFonts w:hint="eastAsia" w:ascii="等线" w:hAnsi="等线" w:eastAsia="等线" w:cs="Arial"/>
          <w:lang w:val="en-US" w:eastAsia="zh-CN"/>
        </w:rPr>
        <w:t>AIPE</w:t>
      </w:r>
      <w:r>
        <w:rPr>
          <w:rFonts w:ascii="等线" w:hAnsi="等线" w:eastAsia="等线" w:cs="Arial"/>
        </w:rPr>
        <w:t>往往会被理解为“要不要追新热点”。但从入口迁移的逻辑看，更准确的判断是：在生成式入口逐步普及后，企业若缺乏可被系统采用的知识与证据供给，就可能逐步退出关键问题的候选集合。其表现通常不是突然的流量归零，而是更缓慢、更难察觉的变化，例如在高价值问题中长期缺席、被推荐顺位持续靠后、被解释为不确定或风险较高的选项，从而导致新增用户获取成本上升、转化效率下降、品牌偏好形成困难。由于这类变化发生在点击之前、访问之前，传统数据往往难以及时给出预警，企业容易在问题积累较长时间后才意识到“入口已变、规则已变”。</w:t>
      </w:r>
    </w:p>
    <w:p w14:paraId="77C0C6A5">
      <w:pPr>
        <w:spacing w:before="120" w:after="120" w:line="288" w:lineRule="auto"/>
        <w:rPr>
          <w:rFonts w:ascii="等线" w:hAnsi="等线" w:eastAsia="等线" w:cs="Arial"/>
        </w:rPr>
      </w:pPr>
      <w:r>
        <w:rPr>
          <w:rFonts w:ascii="等线" w:hAnsi="等线" w:eastAsia="等线" w:cs="Arial"/>
        </w:rPr>
        <w:t>因此，从风险管理角度看</w:t>
      </w:r>
      <w:r>
        <w:rPr>
          <w:rFonts w:hint="eastAsia" w:ascii="等线" w:hAnsi="等线" w:eastAsia="等线" w:cs="Arial"/>
          <w:lang w:val="en-US" w:eastAsia="zh-CN"/>
        </w:rPr>
        <w:t>AIPE</w:t>
      </w:r>
      <w:r>
        <w:rPr>
          <w:rFonts w:ascii="等线" w:hAnsi="等线" w:eastAsia="等线" w:cs="Arial"/>
        </w:rPr>
        <w:t>的意义不仅在于争取增量，更在于守住“被考虑”的基本盘。越早完成语义定位与证据体系的建设，越有可能在规则收敛与竞争加剧之前占据相对有利的位置，并降低迁移期的试错成本。</w:t>
      </w:r>
    </w:p>
    <w:p w14:paraId="39919962">
      <w:pPr>
        <w:spacing w:before="120" w:after="120" w:line="288" w:lineRule="auto"/>
        <w:rPr>
          <w:rFonts w:ascii="等线" w:hAnsi="等线" w:eastAsia="等线" w:cs="Arial"/>
        </w:rPr>
      </w:pPr>
    </w:p>
    <w:p w14:paraId="21B61E98">
      <w:pPr>
        <w:pStyle w:val="48"/>
      </w:pPr>
      <w:bookmarkStart w:id="102" w:name="_Toc223693342"/>
      <w:bookmarkStart w:id="103" w:name="_Toc32590"/>
      <w:r>
        <w:rPr>
          <w:rFonts w:hint="eastAsia"/>
        </w:rPr>
        <w:t xml:space="preserve">8.7 </w:t>
      </w:r>
      <w:r>
        <w:rPr>
          <w:rFonts w:hint="eastAsia"/>
          <w:lang w:val="en-US" w:eastAsia="zh-CN"/>
        </w:rPr>
        <w:t>AIPE</w:t>
      </w:r>
      <w:r>
        <w:t>将进入合规治理时代：从“流量博弈”到“公信力经营”</w:t>
      </w:r>
      <w:bookmarkEnd w:id="102"/>
      <w:bookmarkEnd w:id="103"/>
    </w:p>
    <w:p w14:paraId="62C06676">
      <w:pPr>
        <w:spacing w:before="120" w:after="120" w:line="288" w:lineRule="auto"/>
        <w:rPr>
          <w:rFonts w:ascii="等线" w:hAnsi="等线" w:eastAsia="等线" w:cs="Arial"/>
        </w:rPr>
      </w:pPr>
      <w:r>
        <w:rPr>
          <w:rFonts w:hint="eastAsia" w:ascii="等线" w:hAnsi="等线" w:eastAsia="等线" w:cs="Arial"/>
          <w:lang w:val="en-US" w:eastAsia="zh-CN"/>
        </w:rPr>
        <w:t>2026年315晚会的行业负面曝光</w:t>
      </w:r>
      <w:r>
        <w:rPr>
          <w:rFonts w:hint="eastAsia" w:ascii="等线" w:hAnsi="等线" w:eastAsia="等线" w:cs="Arial"/>
        </w:rPr>
        <w:t>划下了分水岭。随着生成式 AI 普及率突破 36.5%，行业正告别“野蛮生长”，迈向以真实、透明、合规为核心的“合规治理时代”。</w:t>
      </w:r>
    </w:p>
    <w:p w14:paraId="0A27B462">
      <w:pPr>
        <w:spacing w:before="120" w:after="120" w:line="288" w:lineRule="auto"/>
        <w:rPr>
          <w:rFonts w:ascii="等线" w:hAnsi="等线" w:eastAsia="等线" w:cs="Arial"/>
        </w:rPr>
      </w:pPr>
      <w:r>
        <w:rPr>
          <w:rFonts w:hint="eastAsia" w:ascii="等线" w:hAnsi="等线" w:eastAsia="等线" w:cs="Arial"/>
        </w:rPr>
        <w:t>1. 终结数据污染与信源欺诈。AI 引擎的重排机制正日益严苛。过去通过海量同质化软文、伪造研究报告或“假专家”头衔进行算法欺诈的黑帽手法将无所遁形。AI 平台正通过“虚假内容黑名单”对劣质信息进行系统性降权。GEO 的核心任务已从“如何被抓取”转向“如何证明自身真实与权威”。</w:t>
      </w:r>
    </w:p>
    <w:p w14:paraId="303FBC37">
      <w:pPr>
        <w:spacing w:before="120" w:after="120" w:line="288" w:lineRule="auto"/>
        <w:rPr>
          <w:rFonts w:ascii="等线" w:hAnsi="等线" w:eastAsia="等线" w:cs="Arial"/>
        </w:rPr>
      </w:pPr>
      <w:r>
        <w:rPr>
          <w:rFonts w:hint="eastAsia" w:ascii="等线" w:hAnsi="等线" w:eastAsia="等线" w:cs="Arial"/>
        </w:rPr>
        <w:t>2. 守住合规红线与透明度。依据《广告法》及相关管理办法，广告的可识别性成为监管核心。领先品牌将主动通过结构化数据（如 JSON-LD）实现信源透明化，协助系统进行官方属性标注。透明性不仅是合规底线，更是品牌赢得 AI 语义溢价、消除系统推荐不确定性的关键。</w:t>
      </w:r>
    </w:p>
    <w:p w14:paraId="18244EB1">
      <w:pPr>
        <w:spacing w:before="120" w:after="120" w:line="288" w:lineRule="auto"/>
        <w:rPr>
          <w:rFonts w:ascii="等线" w:hAnsi="等线" w:eastAsia="等线" w:cs="Arial"/>
        </w:rPr>
      </w:pPr>
      <w:r>
        <w:rPr>
          <w:rFonts w:hint="eastAsia" w:ascii="等线" w:hAnsi="等线" w:eastAsia="等线" w:cs="Arial"/>
        </w:rPr>
        <w:t>3. 以标准化工具驱动认知治理。AIBV 指数体系将成为“去伪存真”的利器。通过 MCI（方法置信度）与 A3（证据可追溯度）指标，能够有效识别并剔除算法操纵风险，确保品牌的 SoA（答案份额）建立在真实公信力之上。</w:t>
      </w:r>
    </w:p>
    <w:p w14:paraId="43EBA56E">
      <w:pPr>
        <w:spacing w:before="120" w:after="120" w:line="288" w:lineRule="auto"/>
        <w:rPr>
          <w:rFonts w:hint="eastAsia" w:ascii="等线" w:hAnsi="等线" w:eastAsia="等线" w:cs="Arial"/>
        </w:rPr>
      </w:pPr>
      <w:r>
        <w:rPr>
          <w:rFonts w:hint="eastAsia" w:ascii="等线" w:hAnsi="等线" w:eastAsia="等线" w:cs="Arial"/>
        </w:rPr>
        <w:t xml:space="preserve"> 在“结论时代”，信任比曝光更昂贵。GEO 的本质不再是算法博弈，而是认知治理，它将沉淀为企业的基础设施化能力，守护 7 亿用户的决策安全。</w:t>
      </w:r>
    </w:p>
    <w:p w14:paraId="74A25B73">
      <w:pPr>
        <w:spacing w:before="120" w:after="120" w:line="288" w:lineRule="auto"/>
        <w:rPr>
          <w:rFonts w:hint="eastAsia" w:ascii="等线" w:hAnsi="等线" w:eastAsia="等线" w:cs="Arial"/>
        </w:rPr>
      </w:pPr>
    </w:p>
    <w:p w14:paraId="556FFD50">
      <w:pPr>
        <w:pStyle w:val="3"/>
        <w:keepNext w:val="0"/>
        <w:keepLines w:val="0"/>
        <w:widowControl/>
        <w:suppressLineNumbers w:val="0"/>
        <w:rPr>
          <w:rFonts w:hint="eastAsia" w:ascii="等线" w:hAnsi="等线" w:eastAsia="等线" w:cs="等线"/>
          <w:b/>
          <w:bCs/>
          <w:color w:val="auto"/>
          <w:sz w:val="28"/>
          <w:szCs w:val="28"/>
        </w:rPr>
      </w:pPr>
      <w:bookmarkStart w:id="104" w:name="_Toc30491"/>
      <w:r>
        <w:rPr>
          <w:rFonts w:hint="eastAsia" w:ascii="等线" w:hAnsi="等线" w:eastAsia="等线" w:cs="等线"/>
          <w:b/>
          <w:bCs/>
          <w:color w:val="auto"/>
          <w:sz w:val="28"/>
          <w:szCs w:val="28"/>
        </w:rPr>
        <w:t>8.</w:t>
      </w:r>
      <w:r>
        <w:rPr>
          <w:rFonts w:hint="eastAsia" w:ascii="等线" w:hAnsi="等线" w:eastAsia="等线" w:cs="等线"/>
          <w:b/>
          <w:bCs/>
          <w:color w:val="auto"/>
          <w:sz w:val="28"/>
          <w:szCs w:val="28"/>
          <w:lang w:val="en-US" w:eastAsia="zh-CN"/>
        </w:rPr>
        <w:t>8</w:t>
      </w:r>
      <w:r>
        <w:rPr>
          <w:rFonts w:hint="eastAsia" w:ascii="等线" w:hAnsi="等线" w:eastAsia="等线" w:cs="等线"/>
          <w:b/>
          <w:bCs/>
          <w:color w:val="auto"/>
          <w:sz w:val="28"/>
          <w:szCs w:val="28"/>
        </w:rPr>
        <w:t>行业倡议：从“流量博弈”走向“认知治理”和“品牌治理”</w:t>
      </w:r>
      <w:bookmarkEnd w:id="104"/>
    </w:p>
    <w:p w14:paraId="2189F5E7">
      <w:pPr>
        <w:pStyle w:val="22"/>
        <w:keepNext w:val="0"/>
        <w:keepLines w:val="0"/>
        <w:widowControl/>
        <w:suppressLineNumbers w:val="0"/>
      </w:pPr>
      <w:r>
        <w:t>本白皮书建议，未来 AI 品牌资产建设至少应共同遵循以下原则：</w:t>
      </w:r>
    </w:p>
    <w:p w14:paraId="524254DF">
      <w:pPr>
        <w:pStyle w:val="22"/>
        <w:keepNext w:val="0"/>
        <w:keepLines w:val="0"/>
        <w:widowControl/>
        <w:suppressLineNumbers w:val="0"/>
      </w:pPr>
      <w:r>
        <w:t>第一，</w:t>
      </w:r>
      <w:r>
        <w:rPr>
          <w:rStyle w:val="26"/>
        </w:rPr>
        <w:t>真实性原则</w:t>
      </w:r>
      <w:r>
        <w:t>。不得以虚假信息、伪造案例、伪造背书、伪造第三方评价等方式试图影响 AI 的认知和表达。</w:t>
      </w:r>
    </w:p>
    <w:p w14:paraId="74E40B80">
      <w:pPr>
        <w:pStyle w:val="22"/>
        <w:keepNext w:val="0"/>
        <w:keepLines w:val="0"/>
        <w:widowControl/>
        <w:suppressLineNumbers w:val="0"/>
      </w:pPr>
      <w:r>
        <w:t>第二，</w:t>
      </w:r>
      <w:r>
        <w:rPr>
          <w:rStyle w:val="26"/>
        </w:rPr>
        <w:t>透明性原则</w:t>
      </w:r>
      <w:r>
        <w:t>。品牌官方信息、第三方研究、商业传播与 AI 生成内容之间，应保持适当区分；涉及重要结论的信息应尽量具备可追溯来源。</w:t>
      </w:r>
    </w:p>
    <w:p w14:paraId="1614DD19">
      <w:pPr>
        <w:pStyle w:val="22"/>
        <w:keepNext w:val="0"/>
        <w:keepLines w:val="0"/>
        <w:widowControl/>
        <w:suppressLineNumbers w:val="0"/>
      </w:pPr>
      <w:r>
        <w:t>第三，</w:t>
      </w:r>
      <w:r>
        <w:rPr>
          <w:rStyle w:val="26"/>
        </w:rPr>
        <w:t>可验证原则</w:t>
      </w:r>
      <w:r>
        <w:t>。品牌进入 AI 语义空间的关键内容，应有事实锚点、证据链和可核验出处，避免只有结论没有依据。</w:t>
      </w:r>
    </w:p>
    <w:p w14:paraId="369F0476">
      <w:pPr>
        <w:pStyle w:val="22"/>
        <w:keepNext w:val="0"/>
        <w:keepLines w:val="0"/>
        <w:widowControl/>
        <w:suppressLineNumbers w:val="0"/>
      </w:pPr>
      <w:r>
        <w:t>第四，</w:t>
      </w:r>
      <w:r>
        <w:rPr>
          <w:rStyle w:val="26"/>
        </w:rPr>
        <w:t>边界清晰原则</w:t>
      </w:r>
      <w:r>
        <w:t>。AI 品牌资产建设的目标，不应被定义为操纵模型偏好或制造结果倾向，而应被定义为帮助 AI 更准确地理解、引用和表达品牌。</w:t>
      </w:r>
    </w:p>
    <w:p w14:paraId="75A0557F">
      <w:pPr>
        <w:pStyle w:val="22"/>
        <w:keepNext w:val="0"/>
        <w:keepLines w:val="0"/>
        <w:widowControl/>
        <w:suppressLineNumbers w:val="0"/>
      </w:pPr>
      <w:r>
        <w:t>第五，</w:t>
      </w:r>
      <w:r>
        <w:rPr>
          <w:rStyle w:val="26"/>
        </w:rPr>
        <w:t>治理导向原则</w:t>
      </w:r>
      <w:r>
        <w:t xml:space="preserve">。评估体系不只服务于增长，也要服务于误读识别、错引纠偏、风险表达治理和消费者决策安全。 AIBV 方法体系里，已经明确包含可解释性、可复现性、防操纵性和合规性，这正是把行业从“操作语言”带回“治理语言”的关键基础。 </w:t>
      </w:r>
    </w:p>
    <w:p w14:paraId="3E64A5D2">
      <w:pPr>
        <w:pStyle w:val="22"/>
        <w:keepNext w:val="0"/>
        <w:keepLines w:val="0"/>
        <w:widowControl/>
        <w:suppressLineNumbers w:val="0"/>
      </w:pPr>
      <w:r>
        <w:t>在“结论时代”，信任比曝光更昂贵。真正能够成为长期资产的，不是短期影响答案的幻觉，而是被系统审慎引用、被用户长期信任、被行业持续验证的品牌知识体系。</w:t>
      </w:r>
    </w:p>
    <w:p w14:paraId="42365197">
      <w:pPr>
        <w:widowControl/>
        <w:rPr>
          <w:rFonts w:ascii="等线" w:hAnsi="等线" w:eastAsia="等线" w:cs="Arial"/>
        </w:rPr>
      </w:pPr>
      <w:r>
        <w:rPr>
          <w:rFonts w:ascii="等线" w:hAnsi="等线" w:eastAsia="等线" w:cs="Arial"/>
        </w:rPr>
        <w:br w:type="page"/>
      </w:r>
    </w:p>
    <w:p w14:paraId="1C981179">
      <w:pPr>
        <w:pStyle w:val="22"/>
        <w:keepNext w:val="0"/>
        <w:keepLines w:val="0"/>
        <w:widowControl/>
        <w:suppressLineNumbers w:val="0"/>
        <w:rPr>
          <w:rFonts w:hint="eastAsia" w:ascii="等线" w:hAnsi="等线" w:eastAsia="等线" w:cs="等线"/>
          <w:b/>
          <w:bCs/>
          <w:sz w:val="28"/>
          <w:szCs w:val="24"/>
        </w:rPr>
      </w:pPr>
      <w:bookmarkStart w:id="105" w:name="_Toc223693344"/>
      <w:bookmarkStart w:id="106" w:name="heading_58"/>
      <w:r>
        <w:rPr>
          <w:rFonts w:hint="eastAsia" w:ascii="等线" w:hAnsi="等线" w:eastAsia="等线" w:cs="等线"/>
          <w:b/>
          <w:bCs/>
          <w:sz w:val="28"/>
          <w:szCs w:val="28"/>
        </w:rPr>
        <w:t>终章</w:t>
      </w:r>
    </w:p>
    <w:p w14:paraId="752E282C">
      <w:pPr>
        <w:pStyle w:val="22"/>
        <w:keepNext w:val="0"/>
        <w:keepLines w:val="0"/>
        <w:widowControl/>
        <w:suppressLineNumbers w:val="0"/>
      </w:pPr>
      <w:r>
        <w:t xml:space="preserve">过去二十年，品牌习惯于为获取曝光而配置预算、组织内容与建立渠道；但在生成式人工智能重塑信息获取与判断方式的今天，品牌所面对的已不再只是“如何被看见”，而是“如何在 AI 的判断链条中被正确理解、审慎表达与合理引用”。当越来越多用户将初筛、比较与归纳的任务交给 AI，品牌竞争的关键环节已经从传统流量入口前移到答案生成、候选形成与证据组织的阶段。品牌真正面临的风险，不再只是排位靠后，而更可能是在新的入口中逐步缺席。 </w:t>
      </w:r>
    </w:p>
    <w:p w14:paraId="0E345809">
      <w:pPr>
        <w:pStyle w:val="22"/>
        <w:keepNext w:val="0"/>
        <w:keepLines w:val="0"/>
        <w:widowControl/>
        <w:suppressLineNumbers w:val="0"/>
      </w:pPr>
      <w:r>
        <w:t>也正因如此，AI 品牌资产建设不应被误解为一种针对生成式系统的操纵技巧，更不应被引向黑帽 GEO、AI 投毒、虚假信息铺设、伪造信源或误导性承诺。真正值得建立的，不是对结果的控制力，而是品牌在 AI 时代的信息供给能力：是否真实、是否准确、是否有边界、是否可追溯、是否具备被系统采用的证据属性。GEO 的本质绝不是算法欺骗，而是提升供给侧信息的结构化程度、准确性与可验证性。</w:t>
      </w:r>
    </w:p>
    <w:p w14:paraId="79767166">
      <w:pPr>
        <w:pStyle w:val="22"/>
        <w:keepNext w:val="0"/>
        <w:keepLines w:val="0"/>
        <w:widowControl/>
        <w:suppressLineNumbers w:val="0"/>
      </w:pPr>
      <w:r>
        <w:t xml:space="preserve">从更长期的视角看，品牌真正需要争取的，不是某一次回答中的偶然位置，而是一种更稳定的存在状态：当用户提出关键问题时，系统是否能够认得出你、分得清你、说得准你、信得过你，并在必要时引用你。这种存在状态，不会靠单点动作获得，而只能通过品牌事实库、答案资产、引用资产、可信知识网络、口径治理、风险修复与持续评估逐步沉淀。关于 AIBE 和 AIBV 的价值判断，其实已经为这一结论打下基础：前者帮助品牌理解自己在 AI 中的资产结构，后者帮助品牌把表现、建设能力和风险状态纳入统一评价框架。 </w:t>
      </w:r>
    </w:p>
    <w:p w14:paraId="0D264B9A">
      <w:pPr>
        <w:pStyle w:val="22"/>
        <w:keepNext w:val="0"/>
        <w:keepLines w:val="0"/>
        <w:widowControl/>
        <w:suppressLineNumbers w:val="0"/>
      </w:pPr>
      <w:r>
        <w:t>因此，在 AI 时代，品牌需要完成一次重要的认知转换：从“争夺结果”转向“建设资产”，从“流量博弈”转向“品牌治理”，从“话术承诺”转向“证据建设”，从“短期有效”转向“长期可信”。真正能够穿越模型迭代、平台变迁与规则收敛的，不会是最擅长制造噪音的品牌，而是最早完成真实、合规、透明、可验证、可持续治理升级的品牌。</w:t>
      </w:r>
    </w:p>
    <w:p w14:paraId="1CD39882">
      <w:pPr>
        <w:widowControl/>
        <w:rPr>
          <w:rFonts w:ascii="Arial" w:hAnsi="Arial" w:eastAsia="等线" w:cs="Arial"/>
          <w:b/>
          <w:sz w:val="36"/>
        </w:rPr>
      </w:pPr>
      <w:r>
        <w:rPr>
          <w:rFonts w:ascii="Arial" w:hAnsi="Arial" w:eastAsia="等线" w:cs="Arial"/>
          <w:b/>
          <w:sz w:val="36"/>
        </w:rPr>
        <w:br w:type="page"/>
      </w:r>
    </w:p>
    <w:p w14:paraId="7C8E8438">
      <w:pPr>
        <w:spacing w:before="380" w:after="140" w:line="288" w:lineRule="auto"/>
        <w:jc w:val="center"/>
        <w:outlineLvl w:val="0"/>
      </w:pPr>
      <w:bookmarkStart w:id="107" w:name="_Toc3158"/>
      <w:r>
        <w:rPr>
          <w:rFonts w:ascii="Arial" w:hAnsi="Arial" w:eastAsia="等线" w:cs="Arial"/>
          <w:b/>
          <w:sz w:val="36"/>
        </w:rPr>
        <w:t>附</w:t>
      </w:r>
      <w:r>
        <w:rPr>
          <w:rFonts w:hint="eastAsia" w:ascii="Arial" w:hAnsi="Arial" w:eastAsia="等线" w:cs="Arial"/>
          <w:b/>
          <w:sz w:val="36"/>
        </w:rPr>
        <w:t>录</w:t>
      </w:r>
      <w:bookmarkEnd w:id="105"/>
      <w:bookmarkEnd w:id="106"/>
      <w:bookmarkEnd w:id="107"/>
    </w:p>
    <w:p w14:paraId="0273661D">
      <w:pPr>
        <w:spacing w:before="320" w:after="120" w:line="288" w:lineRule="auto"/>
        <w:outlineLvl w:val="1"/>
      </w:pPr>
      <w:bookmarkStart w:id="108" w:name="_Toc223693345"/>
      <w:bookmarkStart w:id="109" w:name="heading_59"/>
      <w:bookmarkStart w:id="110" w:name="_Toc14896"/>
      <w:r>
        <w:rPr>
          <w:rFonts w:ascii="Arial" w:hAnsi="Arial" w:eastAsia="等线" w:cs="Arial"/>
          <w:b/>
          <w:sz w:val="32"/>
        </w:rPr>
        <w:t>A. AI 品牌资产表现指数体系（AIBV 1.0）</w:t>
      </w:r>
      <w:bookmarkEnd w:id="108"/>
      <w:bookmarkEnd w:id="109"/>
      <w:bookmarkEnd w:id="110"/>
    </w:p>
    <w:p w14:paraId="1473C8AA">
      <w:pPr>
        <w:spacing w:before="120" w:after="120" w:line="288" w:lineRule="auto"/>
      </w:pPr>
      <w:r>
        <w:t>AIBV 1.0 用于衡量品牌在中国主流 AI 大模型与 AI 搜索/推荐场景中的“语义空间品牌资产”表现、建设能力与风险状况，并为行业提供统一评价语言与可量化对标框架。本体系采用 AIBV 的“3+2”结构与方法置信度机制。</w:t>
      </w:r>
    </w:p>
    <w:p w14:paraId="20210D20">
      <w:pPr>
        <w:spacing w:before="120" w:after="120" w:line="288" w:lineRule="auto"/>
        <w:rPr>
          <w:rFonts w:ascii="等线" w:hAnsi="等线" w:eastAsia="等线" w:cs="Arial"/>
        </w:rPr>
      </w:pPr>
      <w:r>
        <w:t>关于该体系的完整定义、总体框架、指标设置及使用规范，详见附件《AI品牌资产</w:t>
      </w:r>
      <w:r>
        <w:rPr>
          <w:rFonts w:hint="eastAsia"/>
          <w:lang w:val="en-US" w:eastAsia="zh-CN"/>
        </w:rPr>
        <w:t>表现</w:t>
      </w:r>
      <w:r>
        <w:t>指数体系（AIBV 1.0）》。</w:t>
      </w:r>
    </w:p>
    <w:p w14:paraId="2F014D02">
      <w:pPr>
        <w:spacing w:before="320" w:after="120" w:line="288" w:lineRule="auto"/>
        <w:outlineLvl w:val="1"/>
      </w:pPr>
      <w:bookmarkStart w:id="111" w:name="heading_60"/>
      <w:bookmarkStart w:id="112" w:name="_Toc223693346"/>
      <w:bookmarkStart w:id="113" w:name="_Toc32181"/>
      <w:r>
        <w:rPr>
          <w:rFonts w:ascii="Arial" w:hAnsi="Arial" w:eastAsia="等线" w:cs="Arial"/>
          <w:b/>
          <w:sz w:val="32"/>
        </w:rPr>
        <w:t>B</w:t>
      </w:r>
      <w:r>
        <w:rPr>
          <w:rFonts w:hint="eastAsia" w:ascii="Arial" w:hAnsi="Arial" w:eastAsia="等线" w:cs="Arial"/>
          <w:b/>
          <w:sz w:val="32"/>
        </w:rPr>
        <w:t xml:space="preserve">. </w:t>
      </w:r>
      <w:r>
        <w:rPr>
          <w:rFonts w:ascii="Arial" w:hAnsi="Arial" w:eastAsia="等线" w:cs="Arial"/>
          <w:b/>
          <w:sz w:val="32"/>
        </w:rPr>
        <w:t>术语表（精简版）</w:t>
      </w:r>
      <w:bookmarkEnd w:id="111"/>
      <w:bookmarkEnd w:id="112"/>
      <w:bookmarkEnd w:id="113"/>
    </w:p>
    <w:p w14:paraId="5FF42209">
      <w:pPr>
        <w:spacing w:before="120" w:after="120" w:line="288" w:lineRule="auto"/>
        <w:rPr>
          <w:rFonts w:ascii="等线" w:hAnsi="等线" w:eastAsia="等线" w:cs="Arial"/>
        </w:rPr>
      </w:pPr>
      <w:r>
        <w:rPr>
          <w:rFonts w:cs="Arial"/>
        </w:rPr>
        <w:t>KNIT</w:t>
      </w:r>
      <w:r>
        <w:rPr>
          <w:rFonts w:ascii="等线" w:hAnsi="等线" w:eastAsia="等线" w:cs="Arial"/>
        </w:rPr>
        <w:t>：可信知识网络（Knowledge Network of Integrity &amp; Trust），由弗若斯特沙利文与头豹研究院联合提出。</w:t>
      </w:r>
    </w:p>
    <w:p w14:paraId="33CAAB15">
      <w:pPr>
        <w:spacing w:before="120" w:after="120" w:line="288" w:lineRule="auto"/>
        <w:rPr>
          <w:rFonts w:ascii="等线" w:hAnsi="等线" w:eastAsia="等线" w:cs="Arial"/>
        </w:rPr>
      </w:pPr>
      <w:r>
        <w:rPr>
          <w:rFonts w:ascii="等线" w:hAnsi="等线" w:eastAsia="等线" w:cs="Arial"/>
        </w:rPr>
        <w:t>GEO：生成式引擎优化</w:t>
      </w:r>
    </w:p>
    <w:p w14:paraId="0112091E">
      <w:pPr>
        <w:spacing w:before="120" w:after="120" w:line="288" w:lineRule="auto"/>
        <w:rPr>
          <w:rFonts w:ascii="等线" w:hAnsi="等线" w:eastAsia="等线" w:cs="Arial"/>
        </w:rPr>
      </w:pPr>
      <w:r>
        <w:rPr>
          <w:rFonts w:ascii="等线" w:hAnsi="等线" w:eastAsia="等线" w:cs="Arial"/>
        </w:rPr>
        <w:t>AEO：答案引擎优化</w:t>
      </w:r>
    </w:p>
    <w:p w14:paraId="2BF47820">
      <w:pPr>
        <w:spacing w:before="120" w:after="120" w:line="288" w:lineRule="auto"/>
        <w:rPr>
          <w:rFonts w:ascii="等线" w:hAnsi="等线" w:eastAsia="等线" w:cs="Arial"/>
        </w:rPr>
      </w:pPr>
      <w:r>
        <w:rPr>
          <w:rFonts w:ascii="等线" w:hAnsi="等线" w:eastAsia="等线" w:cs="Arial"/>
        </w:rPr>
        <w:t>RAG：检索增强生成</w:t>
      </w:r>
    </w:p>
    <w:p w14:paraId="5CB12E41">
      <w:pPr>
        <w:spacing w:before="120" w:after="120" w:line="288" w:lineRule="auto"/>
        <w:rPr>
          <w:rFonts w:ascii="等线" w:hAnsi="等线" w:eastAsia="等线" w:cs="Arial"/>
        </w:rPr>
      </w:pPr>
      <w:r>
        <w:rPr>
          <w:rFonts w:ascii="等线" w:hAnsi="等线" w:eastAsia="等线" w:cs="Arial"/>
        </w:rPr>
        <w:t>SoA：Share of Answer</w:t>
      </w:r>
      <w:r>
        <w:rPr>
          <w:rFonts w:hint="eastAsia" w:ascii="等线" w:hAnsi="等线" w:eastAsia="等线" w:cs="Arial"/>
        </w:rPr>
        <w:t>，</w:t>
      </w:r>
      <w:r>
        <w:rPr>
          <w:rFonts w:ascii="等线" w:hAnsi="等线" w:eastAsia="等线" w:cs="Arial"/>
        </w:rPr>
        <w:t>答案份额</w:t>
      </w:r>
    </w:p>
    <w:p w14:paraId="144855A9">
      <w:pPr>
        <w:spacing w:before="120" w:after="120" w:line="288" w:lineRule="auto"/>
        <w:rPr>
          <w:rFonts w:ascii="等线" w:hAnsi="等线" w:eastAsia="等线" w:cs="Arial"/>
        </w:rPr>
      </w:pPr>
      <w:r>
        <w:rPr>
          <w:rFonts w:ascii="等线" w:hAnsi="等线" w:eastAsia="等线" w:cs="Arial"/>
        </w:rPr>
        <w:t>AIBE：AI 品牌资产</w:t>
      </w:r>
    </w:p>
    <w:p w14:paraId="360AEEB1">
      <w:pPr>
        <w:spacing w:before="120" w:after="120" w:line="288" w:lineRule="auto"/>
        <w:rPr>
          <w:rFonts w:ascii="等线" w:hAnsi="等线" w:eastAsia="等线" w:cs="Arial"/>
        </w:rPr>
      </w:pPr>
      <w:r>
        <w:rPr>
          <w:rFonts w:hint="eastAsia" w:ascii="等线" w:hAnsi="等线" w:eastAsia="等线" w:cs="Arial"/>
        </w:rPr>
        <w:t>AIBV：AI 品牌资产表现指数</w:t>
      </w:r>
    </w:p>
    <w:p w14:paraId="5C73BBEA">
      <w:pPr>
        <w:spacing w:before="120" w:after="120" w:line="288" w:lineRule="auto"/>
        <w:rPr>
          <w:rFonts w:ascii="等线" w:hAnsi="等线" w:eastAsia="等线" w:cs="Arial"/>
        </w:rPr>
      </w:pPr>
      <w:r>
        <w:rPr>
          <w:rFonts w:ascii="等线" w:hAnsi="等线" w:eastAsia="等线" w:cs="Arial"/>
        </w:rPr>
        <w:t>Answer Asset：答案资产</w:t>
      </w:r>
    </w:p>
    <w:p w14:paraId="5EFCE203">
      <w:pPr>
        <w:spacing w:before="120" w:after="120" w:line="288" w:lineRule="auto"/>
        <w:rPr>
          <w:rFonts w:ascii="等线" w:hAnsi="等线" w:eastAsia="等线" w:cs="Arial"/>
        </w:rPr>
      </w:pPr>
      <w:r>
        <w:rPr>
          <w:rFonts w:ascii="等线" w:hAnsi="等线" w:eastAsia="等线" w:cs="Arial"/>
        </w:rPr>
        <w:t>Citation Asset：引用资产</w:t>
      </w:r>
    </w:p>
    <w:p w14:paraId="26777D69">
      <w:pPr>
        <w:spacing w:before="120" w:after="120" w:line="288" w:lineRule="auto"/>
        <w:rPr>
          <w:rFonts w:ascii="等线" w:hAnsi="等线" w:eastAsia="等线" w:cs="Arial"/>
        </w:rPr>
      </w:pPr>
      <w:r>
        <w:rPr>
          <w:rFonts w:ascii="等线" w:hAnsi="等线" w:eastAsia="等线" w:cs="Arial"/>
        </w:rPr>
        <w:t>Brand Agent：品牌智能体</w:t>
      </w:r>
    </w:p>
    <w:p w14:paraId="5112E356">
      <w:pPr>
        <w:spacing w:before="320" w:after="120" w:line="288" w:lineRule="auto"/>
        <w:outlineLvl w:val="1"/>
      </w:pPr>
      <w:bookmarkStart w:id="114" w:name="_Toc223693347"/>
      <w:bookmarkStart w:id="115" w:name="heading_61"/>
      <w:bookmarkStart w:id="116" w:name="_Toc19164"/>
      <w:r>
        <w:rPr>
          <w:rFonts w:ascii="Arial" w:hAnsi="Arial" w:eastAsia="等线" w:cs="Arial"/>
          <w:b/>
          <w:sz w:val="32"/>
        </w:rPr>
        <w:t>C. 指标定义</w:t>
      </w:r>
      <w:bookmarkEnd w:id="114"/>
      <w:bookmarkEnd w:id="115"/>
      <w:bookmarkEnd w:id="116"/>
    </w:p>
    <w:p w14:paraId="5CA82AF0">
      <w:pPr>
        <w:spacing w:before="120" w:after="120" w:line="288" w:lineRule="auto"/>
        <w:rPr>
          <w:rFonts w:ascii="等线" w:hAnsi="等线" w:eastAsia="等线" w:cs="Arial"/>
        </w:rPr>
      </w:pPr>
      <w:r>
        <w:rPr>
          <w:rFonts w:ascii="等线" w:hAnsi="等线" w:eastAsia="等线" w:cs="Arial"/>
        </w:rPr>
        <w:t>SoA = 在问题集中的“出现×权重×顺位”加权占比</w:t>
      </w:r>
    </w:p>
    <w:p w14:paraId="3A842B14">
      <w:pPr>
        <w:spacing w:before="120" w:after="120" w:line="288" w:lineRule="auto"/>
        <w:rPr>
          <w:rFonts w:ascii="等线" w:hAnsi="等线" w:eastAsia="等线" w:cs="Arial"/>
        </w:rPr>
      </w:pPr>
      <w:r>
        <w:rPr>
          <w:rFonts w:ascii="等线" w:hAnsi="等线" w:eastAsia="等线" w:cs="Arial"/>
        </w:rPr>
        <w:t>引用率 = AI 输出引用链中品牌资产占比（按来源权威度加权）</w:t>
      </w:r>
    </w:p>
    <w:p w14:paraId="7B757BB3">
      <w:pPr>
        <w:spacing w:before="120" w:after="120" w:line="288" w:lineRule="auto"/>
        <w:rPr>
          <w:rFonts w:ascii="等线" w:hAnsi="等线" w:eastAsia="等线" w:cs="Arial"/>
        </w:rPr>
      </w:pPr>
      <w:r>
        <w:rPr>
          <w:rFonts w:ascii="等线" w:hAnsi="等线" w:eastAsia="等线" w:cs="Arial"/>
        </w:rPr>
        <w:t>认知一致性 = 不同问题下核心判断的稳定程度（理由一致/标签一致）</w:t>
      </w:r>
    </w:p>
    <w:p w14:paraId="65176F45">
      <w:pPr>
        <w:spacing w:before="120" w:after="120" w:line="288" w:lineRule="auto"/>
        <w:rPr>
          <w:rFonts w:ascii="等线" w:hAnsi="等线" w:eastAsia="等线" w:cs="Arial"/>
        </w:rPr>
      </w:pPr>
      <w:r>
        <w:rPr>
          <w:rFonts w:ascii="等线" w:hAnsi="等线" w:eastAsia="等线" w:cs="Arial"/>
        </w:rPr>
        <w:t>情感倾向 = AI 总结的正负/风险标签出现频次及强度</w:t>
      </w:r>
    </w:p>
    <w:p w14:paraId="45D5AA09">
      <w:pPr>
        <w:widowControl/>
        <w:rPr>
          <w:rFonts w:ascii="等线" w:hAnsi="等线" w:eastAsia="等线" w:cs="Arial"/>
        </w:rPr>
      </w:pPr>
      <w:r>
        <w:rPr>
          <w:rFonts w:ascii="等线" w:hAnsi="等线" w:eastAsia="等线" w:cs="Arial"/>
        </w:rPr>
        <w:br w:type="page"/>
      </w:r>
    </w:p>
    <w:p w14:paraId="2979957F">
      <w:pPr>
        <w:spacing w:before="320" w:after="120" w:line="288" w:lineRule="auto"/>
        <w:jc w:val="center"/>
        <w:outlineLvl w:val="1"/>
        <w:rPr>
          <w:rFonts w:ascii="Arial" w:hAnsi="Arial" w:eastAsia="等线" w:cs="Arial"/>
          <w:b/>
          <w:sz w:val="32"/>
        </w:rPr>
      </w:pPr>
      <w:bookmarkStart w:id="117" w:name="_Toc24435"/>
      <w:r>
        <w:rPr>
          <w:rFonts w:hint="eastAsia" w:ascii="Arial" w:hAnsi="Arial" w:eastAsia="等线" w:cs="Arial"/>
          <w:b/>
          <w:sz w:val="32"/>
        </w:rPr>
        <w:t>附件  AI品牌资产发展指数体系（AIBV 1.0）</w:t>
      </w:r>
      <w:bookmarkEnd w:id="117"/>
    </w:p>
    <w:p w14:paraId="48413B3A">
      <w:pPr>
        <w:pStyle w:val="4"/>
        <w:jc w:val="center"/>
        <w:rPr>
          <w:rFonts w:ascii="等线" w:hAnsi="等线" w:eastAsia="等线" w:cs="等线"/>
          <w:color w:val="auto"/>
        </w:rPr>
      </w:pPr>
      <w:bookmarkStart w:id="118" w:name="_Toc8540"/>
      <w:bookmarkStart w:id="119" w:name="_Toc224311436"/>
      <w:bookmarkStart w:id="120" w:name="_Toc9212"/>
      <w:bookmarkStart w:id="121" w:name="前言"/>
      <w:bookmarkStart w:id="122" w:name="正式整合版传播稿"/>
      <w:r>
        <w:rPr>
          <w:rFonts w:hint="eastAsia" w:ascii="等线" w:hAnsi="等线" w:eastAsia="等线" w:cs="等线"/>
          <w:color w:val="auto"/>
        </w:rPr>
        <w:t>前  言</w:t>
      </w:r>
      <w:bookmarkEnd w:id="118"/>
      <w:bookmarkEnd w:id="119"/>
      <w:bookmarkEnd w:id="120"/>
    </w:p>
    <w:p w14:paraId="098A0899">
      <w:pPr>
        <w:pStyle w:val="62"/>
        <w:rPr>
          <w:rFonts w:ascii="等线" w:hAnsi="等线" w:eastAsia="等线" w:cs="等线"/>
          <w:lang w:eastAsia="zh-CN"/>
        </w:rPr>
      </w:pPr>
      <w:r>
        <w:rPr>
          <w:rFonts w:hint="eastAsia" w:ascii="等线" w:hAnsi="等线" w:eastAsia="等线" w:cs="等线"/>
          <w:lang w:eastAsia="zh-CN"/>
        </w:rPr>
        <w:t>随着生成式人工智能和大模型技术的快速普及，用户获取品牌信息、比较产品与做出决策的路径正在发生深刻变化。越来越多的品牌认知、产品比较与消费决策，不再只发生在传统搜索引擎和媒体渠道，而是在 AI 问答、AI 搜索、AI 推荐、AI 助理和智能代理等语义交互场景中完成。</w:t>
      </w:r>
    </w:p>
    <w:p w14:paraId="0F7897F9">
      <w:pPr>
        <w:pStyle w:val="10"/>
        <w:rPr>
          <w:rFonts w:ascii="等线" w:hAnsi="等线" w:eastAsia="等线" w:cs="等线"/>
          <w:lang w:eastAsia="zh-CN"/>
        </w:rPr>
      </w:pPr>
      <w:r>
        <w:rPr>
          <w:rFonts w:hint="eastAsia" w:ascii="等线" w:hAnsi="等线" w:eastAsia="等线" w:cs="等线"/>
          <w:lang w:eastAsia="zh-CN"/>
        </w:rPr>
        <w:t>在这一背景下，品牌资产正在进入一个新的衡量维度：品牌是否能够被主流 AI 系统准确理解、自然召回、合理推荐、稳定表达，并在复杂场景下形成可信、可执行、可持续的影响力。这种存在于 AI 语义空间中的品牌表现、建设能力与风险状况，构成了 AI 时代品牌资产的重要组成部分。</w:t>
      </w:r>
    </w:p>
    <w:p w14:paraId="206ADC63">
      <w:pPr>
        <w:pStyle w:val="10"/>
        <w:rPr>
          <w:rFonts w:ascii="等线" w:hAnsi="等线" w:eastAsia="等线" w:cs="等线"/>
        </w:rPr>
      </w:pPr>
      <w:r>
        <w:rPr>
          <w:rFonts w:hint="eastAsia" w:ascii="等线" w:hAnsi="等线" w:eastAsia="等线" w:cs="等线"/>
        </w:rPr>
        <w:t>为此，我们提出 AI 品牌资产发展指数体系（AI Brand Asset &amp; Value Development Index，简称 AIBV）。本体系旨在建立一套面向 AI 时代的品牌资产评价框架，用于衡量品牌在主流 AI 模型、AI 搜索与推荐场景中的综合表现、建设水平与风险状态，为企业管理、行业研究、品牌治理、投资判断与标准建设提供统一的评价语言和量化依据。</w:t>
      </w:r>
    </w:p>
    <w:p w14:paraId="3E958CE5">
      <w:pPr>
        <w:pStyle w:val="10"/>
        <w:rPr>
          <w:rFonts w:ascii="等线" w:hAnsi="等线" w:eastAsia="等线" w:cs="等线"/>
          <w:lang w:eastAsia="zh-CN"/>
        </w:rPr>
      </w:pPr>
      <w:r>
        <w:rPr>
          <w:rFonts w:hint="eastAsia" w:ascii="等线" w:hAnsi="等线" w:eastAsia="等线" w:cs="等线"/>
          <w:lang w:eastAsia="zh-CN"/>
        </w:rPr>
        <w:t>AIBV 不是传统品牌价值评估模型的简单延伸，也不以广告投放、媒体曝光或公关传播规模为核心依据，而是聚焦品牌在 AI 输出端和 AI 语义空间中的真实存在状态。它既可作为企业开展 AI 品牌资产诊断与提升的工具，也可作为行业报告、评价规范和相关标准建设的技术基础。</w:t>
      </w:r>
    </w:p>
    <w:p w14:paraId="0A4AF93F">
      <w:pPr>
        <w:rPr>
          <w:rFonts w:ascii="等线" w:hAnsi="等线" w:eastAsia="等线" w:cs="等线"/>
        </w:rPr>
      </w:pPr>
    </w:p>
    <w:bookmarkEnd w:id="121"/>
    <w:bookmarkEnd w:id="122"/>
    <w:p w14:paraId="7948A75F">
      <w:pPr>
        <w:pStyle w:val="3"/>
        <w:rPr>
          <w:rFonts w:ascii="等线" w:hAnsi="等线" w:eastAsia="等线" w:cs="等线"/>
          <w:color w:val="auto"/>
        </w:rPr>
      </w:pPr>
      <w:bookmarkStart w:id="123" w:name="_Toc19790"/>
      <w:bookmarkStart w:id="124" w:name="_Toc224311437"/>
      <w:bookmarkStart w:id="125" w:name="_Toc11300"/>
      <w:bookmarkStart w:id="126" w:name="第一章-总则"/>
      <w:r>
        <w:rPr>
          <w:rFonts w:hint="eastAsia" w:ascii="等线" w:hAnsi="等线" w:eastAsia="等线" w:cs="等线"/>
          <w:color w:val="auto"/>
        </w:rPr>
        <w:t>第一章 总则</w:t>
      </w:r>
      <w:bookmarkEnd w:id="123"/>
      <w:bookmarkEnd w:id="124"/>
      <w:bookmarkEnd w:id="125"/>
    </w:p>
    <w:p w14:paraId="7349DE45">
      <w:pPr>
        <w:pStyle w:val="4"/>
        <w:rPr>
          <w:rFonts w:ascii="等线" w:hAnsi="等线" w:eastAsia="等线" w:cs="等线"/>
          <w:color w:val="auto"/>
        </w:rPr>
      </w:pPr>
      <w:bookmarkStart w:id="127" w:name="_Toc1543"/>
      <w:bookmarkStart w:id="128" w:name="_Toc224311438"/>
      <w:bookmarkStart w:id="129" w:name="_Toc15447"/>
      <w:bookmarkStart w:id="130" w:name="目的与定位"/>
      <w:r>
        <w:rPr>
          <w:rFonts w:hint="eastAsia" w:ascii="等线" w:hAnsi="等线" w:eastAsia="等线" w:cs="等线"/>
          <w:color w:val="auto"/>
        </w:rPr>
        <w:t>1.1 目的与定位</w:t>
      </w:r>
      <w:bookmarkEnd w:id="127"/>
      <w:bookmarkEnd w:id="128"/>
      <w:bookmarkEnd w:id="129"/>
    </w:p>
    <w:p w14:paraId="73E0F985">
      <w:pPr>
        <w:pStyle w:val="62"/>
        <w:rPr>
          <w:rFonts w:ascii="等线" w:hAnsi="等线" w:eastAsia="等线" w:cs="等线"/>
          <w:lang w:eastAsia="zh-CN"/>
        </w:rPr>
      </w:pPr>
      <w:r>
        <w:rPr>
          <w:rFonts w:hint="eastAsia" w:ascii="等线" w:hAnsi="等线" w:eastAsia="等线" w:cs="等线"/>
          <w:lang w:eastAsia="zh-CN"/>
        </w:rPr>
        <w:t>AIBV 的主要目的在于：</w:t>
      </w:r>
    </w:p>
    <w:p w14:paraId="18D15848">
      <w:pPr>
        <w:pStyle w:val="63"/>
        <w:numPr>
          <w:ilvl w:val="0"/>
          <w:numId w:val="3"/>
        </w:numPr>
        <w:rPr>
          <w:rFonts w:ascii="等线" w:hAnsi="等线" w:eastAsia="等线" w:cs="等线"/>
          <w:lang w:eastAsia="zh-CN"/>
        </w:rPr>
      </w:pPr>
      <w:r>
        <w:rPr>
          <w:rFonts w:hint="eastAsia" w:ascii="等线" w:hAnsi="等线" w:eastAsia="等线" w:cs="等线"/>
          <w:lang w:eastAsia="zh-CN"/>
        </w:rPr>
        <w:t>建立一套面向 AI 时代的品牌资产评价体系，反映品牌在 AI 生态中的综合表现和发展水平。</w:t>
      </w:r>
    </w:p>
    <w:p w14:paraId="32348A77">
      <w:pPr>
        <w:pStyle w:val="63"/>
        <w:numPr>
          <w:ilvl w:val="0"/>
          <w:numId w:val="3"/>
        </w:numPr>
        <w:rPr>
          <w:rFonts w:ascii="等线" w:hAnsi="等线" w:eastAsia="等线" w:cs="等线"/>
          <w:lang w:eastAsia="zh-CN"/>
        </w:rPr>
      </w:pPr>
      <w:r>
        <w:rPr>
          <w:rFonts w:hint="eastAsia" w:ascii="等线" w:hAnsi="等线" w:eastAsia="等线" w:cs="等线"/>
          <w:lang w:eastAsia="zh-CN"/>
        </w:rPr>
        <w:t>为政府部门、行业组织、媒体、投资机构和企业提供统一的评价语言和量化参考。</w:t>
      </w:r>
    </w:p>
    <w:p w14:paraId="24B0B593">
      <w:pPr>
        <w:pStyle w:val="63"/>
        <w:numPr>
          <w:ilvl w:val="0"/>
          <w:numId w:val="3"/>
        </w:numPr>
        <w:rPr>
          <w:rFonts w:ascii="等线" w:hAnsi="等线" w:eastAsia="等线" w:cs="等线"/>
          <w:lang w:eastAsia="zh-CN"/>
        </w:rPr>
      </w:pPr>
      <w:r>
        <w:rPr>
          <w:rFonts w:hint="eastAsia" w:ascii="等线" w:hAnsi="等线" w:eastAsia="等线" w:cs="等线"/>
          <w:lang w:eastAsia="zh-CN"/>
        </w:rPr>
        <w:t>引导企业重视 AI 语义空间中的品牌建设，提升 AI 场景下的品牌安全性、竞争力与经营效率。</w:t>
      </w:r>
    </w:p>
    <w:p w14:paraId="2A3280AD">
      <w:pPr>
        <w:pStyle w:val="63"/>
        <w:numPr>
          <w:ilvl w:val="0"/>
          <w:numId w:val="3"/>
        </w:numPr>
        <w:rPr>
          <w:rFonts w:ascii="等线" w:hAnsi="等线" w:eastAsia="等线" w:cs="等线"/>
          <w:lang w:eastAsia="zh-CN"/>
        </w:rPr>
      </w:pPr>
      <w:r>
        <w:rPr>
          <w:rFonts w:hint="eastAsia" w:ascii="等线" w:hAnsi="等线" w:eastAsia="等线" w:cs="等线"/>
          <w:lang w:eastAsia="zh-CN"/>
        </w:rPr>
        <w:t>为 GEO（生成式引擎优化）及相关品牌增长实践提供可测量、可比较、可追踪的评价框架。</w:t>
      </w:r>
    </w:p>
    <w:bookmarkEnd w:id="130"/>
    <w:p w14:paraId="6E7F3021">
      <w:pPr>
        <w:pStyle w:val="4"/>
        <w:rPr>
          <w:rFonts w:ascii="等线" w:hAnsi="等线" w:eastAsia="等线" w:cs="等线"/>
          <w:color w:val="auto"/>
        </w:rPr>
      </w:pPr>
      <w:bookmarkStart w:id="131" w:name="_Toc17440"/>
      <w:bookmarkStart w:id="132" w:name="_Toc224311439"/>
      <w:bookmarkStart w:id="133" w:name="_Toc21484"/>
      <w:bookmarkStart w:id="134" w:name="适用范围"/>
      <w:r>
        <w:rPr>
          <w:rFonts w:hint="eastAsia" w:ascii="等线" w:hAnsi="等线" w:eastAsia="等线" w:cs="等线"/>
          <w:color w:val="auto"/>
        </w:rPr>
        <w:t>1.2 适用范围</w:t>
      </w:r>
      <w:bookmarkEnd w:id="131"/>
      <w:bookmarkEnd w:id="132"/>
      <w:bookmarkEnd w:id="133"/>
    </w:p>
    <w:p w14:paraId="2066668A">
      <w:pPr>
        <w:pStyle w:val="62"/>
        <w:rPr>
          <w:rFonts w:ascii="等线" w:hAnsi="等线" w:eastAsia="等线" w:cs="等线"/>
          <w:lang w:eastAsia="zh-CN"/>
        </w:rPr>
      </w:pPr>
      <w:r>
        <w:rPr>
          <w:rFonts w:hint="eastAsia" w:ascii="等线" w:hAnsi="等线" w:eastAsia="等线" w:cs="等线"/>
          <w:lang w:eastAsia="zh-CN"/>
        </w:rPr>
        <w:t>本体系适用于：</w:t>
      </w:r>
    </w:p>
    <w:p w14:paraId="13787C0D">
      <w:pPr>
        <w:pStyle w:val="63"/>
        <w:numPr>
          <w:ilvl w:val="0"/>
          <w:numId w:val="4"/>
        </w:numPr>
        <w:rPr>
          <w:rFonts w:ascii="等线" w:hAnsi="等线" w:eastAsia="等线" w:cs="等线"/>
          <w:lang w:eastAsia="zh-CN"/>
        </w:rPr>
      </w:pPr>
      <w:r>
        <w:rPr>
          <w:rFonts w:hint="eastAsia" w:ascii="等线" w:hAnsi="等线" w:eastAsia="等线" w:cs="等线"/>
          <w:lang w:eastAsia="zh-CN"/>
        </w:rPr>
        <w:t>在中国境内运营、具有一定公众认知基础的企业或组织品牌。</w:t>
      </w:r>
    </w:p>
    <w:p w14:paraId="103BAFE1">
      <w:pPr>
        <w:pStyle w:val="63"/>
        <w:numPr>
          <w:ilvl w:val="0"/>
          <w:numId w:val="4"/>
        </w:numPr>
        <w:rPr>
          <w:rFonts w:ascii="等线" w:hAnsi="等线" w:eastAsia="等线" w:cs="等线"/>
          <w:lang w:eastAsia="zh-CN"/>
        </w:rPr>
      </w:pPr>
      <w:r>
        <w:rPr>
          <w:rFonts w:hint="eastAsia" w:ascii="等线" w:hAnsi="等线" w:eastAsia="等线" w:cs="等线"/>
          <w:lang w:eastAsia="zh-CN"/>
        </w:rPr>
        <w:t>优先适用于上市公司品牌、行业头部品牌、区域龙头品牌及重点公共服务品牌。</w:t>
      </w:r>
    </w:p>
    <w:p w14:paraId="5CD70435">
      <w:pPr>
        <w:pStyle w:val="63"/>
        <w:numPr>
          <w:ilvl w:val="0"/>
          <w:numId w:val="4"/>
        </w:numPr>
        <w:rPr>
          <w:rFonts w:ascii="等线" w:hAnsi="等线" w:eastAsia="等线" w:cs="等线"/>
          <w:lang w:eastAsia="zh-CN"/>
        </w:rPr>
      </w:pPr>
      <w:r>
        <w:rPr>
          <w:rFonts w:hint="eastAsia" w:ascii="等线" w:hAnsi="等线" w:eastAsia="等线" w:cs="等线"/>
          <w:lang w:eastAsia="zh-CN"/>
        </w:rPr>
        <w:t>适用场景包括但不限于：</w:t>
      </w:r>
    </w:p>
    <w:p w14:paraId="3FC94B4E">
      <w:pPr>
        <w:pStyle w:val="63"/>
        <w:numPr>
          <w:ilvl w:val="1"/>
          <w:numId w:val="5"/>
        </w:numPr>
        <w:rPr>
          <w:rFonts w:ascii="等线" w:hAnsi="等线" w:eastAsia="等线" w:cs="等线"/>
        </w:rPr>
      </w:pPr>
      <w:r>
        <w:rPr>
          <w:rFonts w:hint="eastAsia" w:ascii="等线" w:hAnsi="等线" w:eastAsia="等线" w:cs="等线"/>
        </w:rPr>
        <w:t>AI 对话/问答；</w:t>
      </w:r>
    </w:p>
    <w:p w14:paraId="285AD850">
      <w:pPr>
        <w:pStyle w:val="63"/>
        <w:numPr>
          <w:ilvl w:val="1"/>
          <w:numId w:val="5"/>
        </w:numPr>
        <w:rPr>
          <w:rFonts w:ascii="等线" w:hAnsi="等线" w:eastAsia="等线" w:cs="等线"/>
        </w:rPr>
      </w:pPr>
      <w:r>
        <w:rPr>
          <w:rFonts w:hint="eastAsia" w:ascii="等线" w:hAnsi="等线" w:eastAsia="等线" w:cs="等线"/>
        </w:rPr>
        <w:t>AI 搜索与推荐；</w:t>
      </w:r>
    </w:p>
    <w:p w14:paraId="40293AE5">
      <w:pPr>
        <w:pStyle w:val="63"/>
        <w:numPr>
          <w:ilvl w:val="1"/>
          <w:numId w:val="5"/>
        </w:numPr>
        <w:rPr>
          <w:rFonts w:ascii="等线" w:hAnsi="等线" w:eastAsia="等线" w:cs="等线"/>
          <w:lang w:eastAsia="zh-CN"/>
        </w:rPr>
      </w:pPr>
      <w:r>
        <w:rPr>
          <w:rFonts w:hint="eastAsia" w:ascii="等线" w:hAnsi="等线" w:eastAsia="等线" w:cs="等线"/>
          <w:lang w:eastAsia="zh-CN"/>
        </w:rPr>
        <w:t>AI 助理类产品中的品牌表达与推荐；</w:t>
      </w:r>
    </w:p>
    <w:p w14:paraId="08C54820">
      <w:pPr>
        <w:pStyle w:val="63"/>
        <w:numPr>
          <w:ilvl w:val="1"/>
          <w:numId w:val="5"/>
        </w:numPr>
        <w:rPr>
          <w:rFonts w:ascii="等线" w:hAnsi="等线" w:eastAsia="等线" w:cs="等线"/>
          <w:lang w:eastAsia="zh-CN"/>
        </w:rPr>
      </w:pPr>
      <w:r>
        <w:rPr>
          <w:rFonts w:hint="eastAsia" w:ascii="等线" w:hAnsi="等线" w:eastAsia="等线" w:cs="等线"/>
          <w:lang w:eastAsia="zh-CN"/>
        </w:rPr>
        <w:t>与品牌认知、比较、决策、行动相关的语义交互场景。</w:t>
      </w:r>
    </w:p>
    <w:bookmarkEnd w:id="134"/>
    <w:p w14:paraId="136C9A71">
      <w:pPr>
        <w:pStyle w:val="4"/>
        <w:rPr>
          <w:rFonts w:ascii="等线" w:hAnsi="等线" w:eastAsia="等线" w:cs="等线"/>
          <w:color w:val="auto"/>
        </w:rPr>
      </w:pPr>
      <w:bookmarkStart w:id="135" w:name="_Toc224311440"/>
      <w:bookmarkStart w:id="136" w:name="_Toc14136"/>
      <w:bookmarkStart w:id="137" w:name="_Toc11791"/>
      <w:bookmarkStart w:id="138" w:name="不在评价范围内的内容"/>
      <w:r>
        <w:rPr>
          <w:rFonts w:hint="eastAsia" w:ascii="等线" w:hAnsi="等线" w:eastAsia="等线" w:cs="等线"/>
          <w:color w:val="auto"/>
        </w:rPr>
        <w:t>1.3 不在评价范围内的内容</w:t>
      </w:r>
      <w:bookmarkEnd w:id="135"/>
      <w:bookmarkEnd w:id="136"/>
      <w:bookmarkEnd w:id="137"/>
    </w:p>
    <w:p w14:paraId="486D97F9">
      <w:pPr>
        <w:pStyle w:val="62"/>
        <w:rPr>
          <w:rFonts w:ascii="等线" w:hAnsi="等线" w:eastAsia="等线" w:cs="等线"/>
          <w:lang w:eastAsia="zh-CN"/>
        </w:rPr>
      </w:pPr>
      <w:r>
        <w:rPr>
          <w:rFonts w:hint="eastAsia" w:ascii="等线" w:hAnsi="等线" w:eastAsia="等线" w:cs="等线"/>
          <w:lang w:eastAsia="zh-CN"/>
        </w:rPr>
        <w:t>AIBV 不直接评价以下内容：</w:t>
      </w:r>
    </w:p>
    <w:p w14:paraId="2F6C0AC4">
      <w:pPr>
        <w:pStyle w:val="63"/>
        <w:numPr>
          <w:ilvl w:val="0"/>
          <w:numId w:val="6"/>
        </w:numPr>
        <w:rPr>
          <w:rFonts w:ascii="等线" w:hAnsi="等线" w:eastAsia="等线" w:cs="等线"/>
          <w:lang w:eastAsia="zh-CN"/>
        </w:rPr>
      </w:pPr>
      <w:r>
        <w:rPr>
          <w:rFonts w:hint="eastAsia" w:ascii="等线" w:hAnsi="等线" w:eastAsia="等线" w:cs="等线"/>
          <w:lang w:eastAsia="zh-CN"/>
        </w:rPr>
        <w:t>传统媒体广告投放规模、曝光量等媒介指标；</w:t>
      </w:r>
    </w:p>
    <w:p w14:paraId="5EE5DCD7">
      <w:pPr>
        <w:pStyle w:val="63"/>
        <w:numPr>
          <w:ilvl w:val="0"/>
          <w:numId w:val="6"/>
        </w:numPr>
        <w:rPr>
          <w:rFonts w:ascii="等线" w:hAnsi="等线" w:eastAsia="等线" w:cs="等线"/>
          <w:lang w:eastAsia="zh-CN"/>
        </w:rPr>
      </w:pPr>
      <w:r>
        <w:rPr>
          <w:rFonts w:hint="eastAsia" w:ascii="等线" w:hAnsi="等线" w:eastAsia="等线" w:cs="等线"/>
          <w:lang w:eastAsia="zh-CN"/>
        </w:rPr>
        <w:t>品牌整体商业价值、社会责任表现等非 AI 语义空间维度；</w:t>
      </w:r>
    </w:p>
    <w:p w14:paraId="33560391">
      <w:pPr>
        <w:pStyle w:val="63"/>
        <w:numPr>
          <w:ilvl w:val="0"/>
          <w:numId w:val="6"/>
        </w:numPr>
        <w:rPr>
          <w:rFonts w:ascii="等线" w:hAnsi="等线" w:eastAsia="等线" w:cs="等线"/>
          <w:lang w:eastAsia="zh-CN"/>
        </w:rPr>
      </w:pPr>
      <w:r>
        <w:rPr>
          <w:rFonts w:hint="eastAsia" w:ascii="等线" w:hAnsi="等线" w:eastAsia="等线" w:cs="等线"/>
          <w:lang w:eastAsia="zh-CN"/>
        </w:rPr>
        <w:t>企业市值、利润、营收等经营结果本身。</w:t>
      </w:r>
    </w:p>
    <w:bookmarkEnd w:id="138"/>
    <w:p w14:paraId="05D394E4">
      <w:pPr>
        <w:pStyle w:val="4"/>
        <w:rPr>
          <w:rFonts w:ascii="等线" w:hAnsi="等线" w:eastAsia="等线" w:cs="等线"/>
          <w:color w:val="auto"/>
        </w:rPr>
      </w:pPr>
      <w:bookmarkStart w:id="139" w:name="_Toc224311441"/>
      <w:bookmarkStart w:id="140" w:name="_Toc25394"/>
      <w:bookmarkStart w:id="141" w:name="_Toc4273"/>
      <w:bookmarkStart w:id="142" w:name="基本原则"/>
      <w:r>
        <w:rPr>
          <w:rFonts w:hint="eastAsia" w:ascii="等线" w:hAnsi="等线" w:eastAsia="等线" w:cs="等线"/>
          <w:color w:val="auto"/>
        </w:rPr>
        <w:t>1.4 基本原则</w:t>
      </w:r>
      <w:bookmarkEnd w:id="139"/>
      <w:bookmarkEnd w:id="140"/>
      <w:bookmarkEnd w:id="141"/>
    </w:p>
    <w:p w14:paraId="21039FAF">
      <w:pPr>
        <w:pStyle w:val="62"/>
        <w:rPr>
          <w:rFonts w:ascii="等线" w:hAnsi="等线" w:eastAsia="等线" w:cs="等线"/>
          <w:lang w:eastAsia="zh-CN"/>
        </w:rPr>
      </w:pPr>
      <w:r>
        <w:rPr>
          <w:rFonts w:hint="eastAsia" w:ascii="等线" w:hAnsi="等线" w:eastAsia="等线" w:cs="等线"/>
          <w:lang w:eastAsia="zh-CN"/>
        </w:rPr>
        <w:t>AIBV 的构建与使用遵循以下原则：</w:t>
      </w:r>
    </w:p>
    <w:p w14:paraId="2311C089">
      <w:pPr>
        <w:pStyle w:val="63"/>
        <w:numPr>
          <w:ilvl w:val="0"/>
          <w:numId w:val="7"/>
        </w:numPr>
        <w:rPr>
          <w:rFonts w:ascii="等线" w:hAnsi="等线" w:eastAsia="等线" w:cs="等线"/>
          <w:lang w:eastAsia="zh-CN"/>
        </w:rPr>
      </w:pPr>
      <w:r>
        <w:rPr>
          <w:rFonts w:hint="eastAsia" w:ascii="等线" w:hAnsi="等线" w:eastAsia="等线" w:cs="等线"/>
          <w:b/>
          <w:bCs/>
          <w:lang w:eastAsia="zh-CN"/>
        </w:rPr>
        <w:t>客观性</w:t>
      </w:r>
      <w:r>
        <w:rPr>
          <w:rFonts w:hint="eastAsia" w:ascii="等线" w:hAnsi="等线" w:eastAsia="等线" w:cs="等线"/>
          <w:lang w:eastAsia="zh-CN"/>
        </w:rPr>
        <w:t>：基于统一的多模型测试、结构化标注和明确的量化公式，尽量减少主观干预。</w:t>
      </w:r>
    </w:p>
    <w:p w14:paraId="7B1417F1">
      <w:pPr>
        <w:pStyle w:val="63"/>
        <w:numPr>
          <w:ilvl w:val="0"/>
          <w:numId w:val="7"/>
        </w:numPr>
        <w:rPr>
          <w:rFonts w:ascii="等线" w:hAnsi="等线" w:eastAsia="等线" w:cs="等线"/>
          <w:lang w:eastAsia="zh-CN"/>
        </w:rPr>
      </w:pPr>
      <w:r>
        <w:rPr>
          <w:rFonts w:hint="eastAsia" w:ascii="等线" w:hAnsi="等线" w:eastAsia="等线" w:cs="等线"/>
          <w:b/>
          <w:bCs/>
          <w:lang w:eastAsia="zh-CN"/>
        </w:rPr>
        <w:t>可复现性</w:t>
      </w:r>
      <w:r>
        <w:rPr>
          <w:rFonts w:hint="eastAsia" w:ascii="等线" w:hAnsi="等线" w:eastAsia="等线" w:cs="等线"/>
          <w:lang w:eastAsia="zh-CN"/>
        </w:rPr>
        <w:t>：数据采集流程、指标定义和计算方法公开透明，可由第三方复核。</w:t>
      </w:r>
    </w:p>
    <w:p w14:paraId="4CE76007">
      <w:pPr>
        <w:pStyle w:val="63"/>
        <w:numPr>
          <w:ilvl w:val="0"/>
          <w:numId w:val="7"/>
        </w:numPr>
        <w:rPr>
          <w:rFonts w:ascii="等线" w:hAnsi="等线" w:eastAsia="等线" w:cs="等线"/>
          <w:lang w:eastAsia="zh-CN"/>
        </w:rPr>
      </w:pPr>
      <w:r>
        <w:rPr>
          <w:rFonts w:hint="eastAsia" w:ascii="等线" w:hAnsi="等线" w:eastAsia="等线" w:cs="等线"/>
          <w:b/>
          <w:bCs/>
          <w:lang w:eastAsia="zh-CN"/>
        </w:rPr>
        <w:t>可解释性</w:t>
      </w:r>
      <w:r>
        <w:rPr>
          <w:rFonts w:hint="eastAsia" w:ascii="等线" w:hAnsi="等线" w:eastAsia="等线" w:cs="等线"/>
          <w:lang w:eastAsia="zh-CN"/>
        </w:rPr>
        <w:t>：通过多维度、多指标呈现，使企业和公众能够理解得分来源。</w:t>
      </w:r>
    </w:p>
    <w:p w14:paraId="635BC089">
      <w:pPr>
        <w:pStyle w:val="63"/>
        <w:numPr>
          <w:ilvl w:val="0"/>
          <w:numId w:val="7"/>
        </w:numPr>
        <w:rPr>
          <w:rFonts w:ascii="等线" w:hAnsi="等线" w:eastAsia="等线" w:cs="等线"/>
          <w:lang w:eastAsia="zh-CN"/>
        </w:rPr>
      </w:pPr>
      <w:r>
        <w:rPr>
          <w:rFonts w:hint="eastAsia" w:ascii="等线" w:hAnsi="等线" w:eastAsia="等线" w:cs="等线"/>
          <w:b/>
          <w:bCs/>
          <w:lang w:eastAsia="zh-CN"/>
        </w:rPr>
        <w:t>防操纵性</w:t>
      </w:r>
      <w:r>
        <w:rPr>
          <w:rFonts w:hint="eastAsia" w:ascii="等线" w:hAnsi="等线" w:eastAsia="等线" w:cs="等线"/>
          <w:lang w:eastAsia="zh-CN"/>
        </w:rPr>
        <w:t>：通过暗题、随机题、异常检测和模型差异检测，降低“刷榜”与定向操纵空间。</w:t>
      </w:r>
    </w:p>
    <w:p w14:paraId="51F6395C">
      <w:pPr>
        <w:pStyle w:val="63"/>
        <w:numPr>
          <w:ilvl w:val="0"/>
          <w:numId w:val="7"/>
        </w:numPr>
        <w:rPr>
          <w:rFonts w:ascii="等线" w:hAnsi="等线" w:eastAsia="等线" w:cs="等线"/>
          <w:lang w:eastAsia="zh-CN"/>
        </w:rPr>
      </w:pPr>
      <w:r>
        <w:rPr>
          <w:rFonts w:hint="eastAsia" w:ascii="等线" w:hAnsi="等线" w:eastAsia="等线" w:cs="等线"/>
          <w:b/>
          <w:bCs/>
          <w:lang w:eastAsia="zh-CN"/>
        </w:rPr>
        <w:t>合规性</w:t>
      </w:r>
      <w:r>
        <w:rPr>
          <w:rFonts w:hint="eastAsia" w:ascii="等线" w:hAnsi="等线" w:eastAsia="等线" w:cs="等线"/>
          <w:lang w:eastAsia="zh-CN"/>
        </w:rPr>
        <w:t>：符合数据安全、个人信息保护、广告监管等相关法律法规要求。</w:t>
      </w:r>
    </w:p>
    <w:p w14:paraId="6E036658">
      <w:pPr>
        <w:pStyle w:val="63"/>
        <w:numPr>
          <w:ilvl w:val="0"/>
          <w:numId w:val="7"/>
        </w:numPr>
        <w:rPr>
          <w:rFonts w:ascii="等线" w:hAnsi="等线" w:eastAsia="等线" w:cs="等线"/>
          <w:lang w:eastAsia="zh-CN"/>
        </w:rPr>
      </w:pPr>
      <w:r>
        <w:rPr>
          <w:rFonts w:hint="eastAsia" w:ascii="等线" w:hAnsi="等线" w:eastAsia="等线" w:cs="等线"/>
          <w:b/>
          <w:bCs/>
          <w:lang w:eastAsia="zh-CN"/>
        </w:rPr>
        <w:t>实用性</w:t>
      </w:r>
      <w:r>
        <w:rPr>
          <w:rFonts w:hint="eastAsia" w:ascii="等线" w:hAnsi="等线" w:eastAsia="等线" w:cs="等线"/>
          <w:lang w:eastAsia="zh-CN"/>
        </w:rPr>
        <w:t>：能够支撑企业诊断、行业对标、品牌治理和 GEO 优化实践。</w:t>
      </w:r>
    </w:p>
    <w:p w14:paraId="137A3BB4">
      <w:pPr>
        <w:rPr>
          <w:rFonts w:ascii="等线" w:hAnsi="等线" w:eastAsia="等线" w:cs="等线"/>
        </w:rPr>
      </w:pPr>
    </w:p>
    <w:bookmarkEnd w:id="126"/>
    <w:bookmarkEnd w:id="142"/>
    <w:p w14:paraId="535113EC">
      <w:pPr>
        <w:pStyle w:val="3"/>
        <w:rPr>
          <w:rFonts w:ascii="等线" w:hAnsi="等线" w:eastAsia="等线" w:cs="等线"/>
          <w:color w:val="auto"/>
        </w:rPr>
      </w:pPr>
      <w:bookmarkStart w:id="143" w:name="_Toc26415"/>
      <w:bookmarkStart w:id="144" w:name="_Toc224311442"/>
      <w:bookmarkStart w:id="145" w:name="_Toc23190"/>
      <w:bookmarkStart w:id="146" w:name="第二章-术语与定义"/>
      <w:r>
        <w:rPr>
          <w:rFonts w:hint="eastAsia" w:ascii="等线" w:hAnsi="等线" w:eastAsia="等线" w:cs="等线"/>
          <w:color w:val="auto"/>
        </w:rPr>
        <w:t>第二章 术语与定义</w:t>
      </w:r>
      <w:bookmarkEnd w:id="143"/>
      <w:bookmarkEnd w:id="144"/>
      <w:bookmarkEnd w:id="145"/>
    </w:p>
    <w:p w14:paraId="68763307">
      <w:pPr>
        <w:pStyle w:val="4"/>
        <w:rPr>
          <w:rFonts w:ascii="等线" w:hAnsi="等线" w:eastAsia="等线" w:cs="等线"/>
          <w:color w:val="auto"/>
        </w:rPr>
      </w:pPr>
      <w:bookmarkStart w:id="147" w:name="_Toc15468"/>
      <w:bookmarkStart w:id="148" w:name="_Toc224311443"/>
      <w:bookmarkStart w:id="149" w:name="_Toc6328"/>
      <w:bookmarkStart w:id="150" w:name="ai-品牌资产"/>
      <w:r>
        <w:rPr>
          <w:rFonts w:hint="eastAsia" w:ascii="等线" w:hAnsi="等线" w:eastAsia="等线" w:cs="等线"/>
          <w:color w:val="auto"/>
        </w:rPr>
        <w:t>2.1 AI 品牌资产</w:t>
      </w:r>
      <w:bookmarkEnd w:id="147"/>
      <w:bookmarkEnd w:id="148"/>
      <w:bookmarkEnd w:id="149"/>
    </w:p>
    <w:p w14:paraId="19907BC5">
      <w:pPr>
        <w:pStyle w:val="62"/>
        <w:rPr>
          <w:rFonts w:ascii="等线" w:hAnsi="等线" w:eastAsia="等线" w:cs="等线"/>
          <w:lang w:eastAsia="zh-CN"/>
        </w:rPr>
      </w:pPr>
      <w:r>
        <w:rPr>
          <w:rFonts w:hint="eastAsia" w:ascii="等线" w:hAnsi="等线" w:eastAsia="等线" w:cs="等线"/>
          <w:lang w:eastAsia="zh-CN"/>
        </w:rPr>
        <w:t>AI 品牌资产，是指品牌在主流 AI 大模型和 AI 应用场景中的综合表现，包括被 AI 准确理解、自然召回、合理推荐、稳定表达、可信引用、有效执行，以及品牌自身在 AI 建设方面的投入与能力等所形成的综合价值。</w:t>
      </w:r>
    </w:p>
    <w:bookmarkEnd w:id="150"/>
    <w:p w14:paraId="56E90171">
      <w:pPr>
        <w:pStyle w:val="4"/>
        <w:rPr>
          <w:rFonts w:ascii="等线" w:hAnsi="等线" w:eastAsia="等线" w:cs="等线"/>
          <w:color w:val="auto"/>
        </w:rPr>
      </w:pPr>
      <w:bookmarkStart w:id="151" w:name="_Toc224311444"/>
      <w:bookmarkStart w:id="152" w:name="_Toc28234"/>
      <w:bookmarkStart w:id="153" w:name="_Toc30544"/>
      <w:bookmarkStart w:id="154" w:name="aibv"/>
      <w:r>
        <w:rPr>
          <w:rFonts w:hint="eastAsia" w:ascii="等线" w:hAnsi="等线" w:eastAsia="等线" w:cs="等线"/>
          <w:color w:val="auto"/>
        </w:rPr>
        <w:t>2.2 AIBV</w:t>
      </w:r>
      <w:bookmarkEnd w:id="151"/>
      <w:bookmarkEnd w:id="152"/>
      <w:bookmarkEnd w:id="153"/>
    </w:p>
    <w:p w14:paraId="43E933D4">
      <w:pPr>
        <w:pStyle w:val="62"/>
        <w:rPr>
          <w:rFonts w:ascii="等线" w:hAnsi="等线" w:eastAsia="等线" w:cs="等线"/>
        </w:rPr>
      </w:pPr>
      <w:r>
        <w:rPr>
          <w:rFonts w:hint="eastAsia" w:ascii="等线" w:hAnsi="等线" w:eastAsia="等线" w:cs="等线"/>
        </w:rPr>
        <w:t>AIBV（AI Brand Asset &amp; Value Development Index），即 AI 品牌资产发展指数体系，是基于多模型问答与生成实验、用户调研和品牌侧数据构建的综合评价体系，用于系统刻画品牌在 AI 语义空间中的表现、建设能力与风险状况。</w:t>
      </w:r>
    </w:p>
    <w:bookmarkEnd w:id="154"/>
    <w:p w14:paraId="64761572">
      <w:pPr>
        <w:pStyle w:val="4"/>
        <w:rPr>
          <w:rFonts w:ascii="等线" w:hAnsi="等线" w:eastAsia="等线" w:cs="等线"/>
          <w:color w:val="auto"/>
        </w:rPr>
      </w:pPr>
      <w:bookmarkStart w:id="155" w:name="_Toc224311445"/>
      <w:bookmarkStart w:id="156" w:name="_Toc1121"/>
      <w:bookmarkStart w:id="157" w:name="_Toc2877"/>
      <w:bookmarkStart w:id="158" w:name="三个主指数"/>
      <w:r>
        <w:rPr>
          <w:rFonts w:hint="eastAsia" w:ascii="等线" w:hAnsi="等线" w:eastAsia="等线" w:cs="等线"/>
          <w:color w:val="auto"/>
        </w:rPr>
        <w:t>2.3 三个主指数</w:t>
      </w:r>
      <w:bookmarkEnd w:id="155"/>
      <w:bookmarkEnd w:id="156"/>
      <w:bookmarkEnd w:id="157"/>
    </w:p>
    <w:p w14:paraId="2121908E">
      <w:pPr>
        <w:pStyle w:val="63"/>
        <w:numPr>
          <w:ilvl w:val="0"/>
          <w:numId w:val="8"/>
        </w:numPr>
        <w:rPr>
          <w:rFonts w:ascii="等线" w:hAnsi="等线" w:eastAsia="等线" w:cs="等线"/>
        </w:rPr>
      </w:pPr>
      <w:r>
        <w:rPr>
          <w:rFonts w:hint="eastAsia" w:ascii="等线" w:hAnsi="等线" w:eastAsia="等线" w:cs="等线"/>
          <w:b/>
          <w:bCs/>
        </w:rPr>
        <w:t>AIP（AI Performance Index）AI 表现基础指数</w:t>
      </w:r>
      <w:r>
        <w:rPr>
          <w:rFonts w:hint="eastAsia" w:ascii="等线" w:hAnsi="等线" w:eastAsia="等线" w:cs="等线"/>
        </w:rPr>
        <w:t>：反映品牌在 AI 输出端的实际表现。</w:t>
      </w:r>
    </w:p>
    <w:p w14:paraId="1FB35EC5">
      <w:pPr>
        <w:pStyle w:val="63"/>
        <w:numPr>
          <w:ilvl w:val="0"/>
          <w:numId w:val="8"/>
        </w:numPr>
        <w:rPr>
          <w:rFonts w:ascii="等线" w:hAnsi="等线" w:eastAsia="等线" w:cs="等线"/>
        </w:rPr>
      </w:pPr>
      <w:r>
        <w:rPr>
          <w:rFonts w:hint="eastAsia" w:ascii="等线" w:hAnsi="等线" w:eastAsia="等线" w:cs="等线"/>
          <w:b/>
          <w:bCs/>
        </w:rPr>
        <w:t>AIC（AI Construction Index）AI 建设指数</w:t>
      </w:r>
      <w:r>
        <w:rPr>
          <w:rFonts w:hint="eastAsia" w:ascii="等线" w:hAnsi="等线" w:eastAsia="等线" w:cs="等线"/>
        </w:rPr>
        <w:t>：反映品牌为进入 AI 语义空间所进行的内容、系统和组织建设能力。</w:t>
      </w:r>
    </w:p>
    <w:p w14:paraId="3F477479">
      <w:pPr>
        <w:pStyle w:val="63"/>
        <w:numPr>
          <w:ilvl w:val="0"/>
          <w:numId w:val="8"/>
        </w:numPr>
        <w:rPr>
          <w:rFonts w:ascii="等线" w:hAnsi="等线" w:eastAsia="等线" w:cs="等线"/>
        </w:rPr>
      </w:pPr>
      <w:r>
        <w:rPr>
          <w:rFonts w:hint="eastAsia" w:ascii="等线" w:hAnsi="等线" w:eastAsia="等线" w:cs="等线"/>
          <w:b/>
          <w:bCs/>
        </w:rPr>
        <w:t>AIR（AI Risk &amp; Reliability Index）AI 风险与稳定性指数</w:t>
      </w:r>
      <w:r>
        <w:rPr>
          <w:rFonts w:hint="eastAsia" w:ascii="等线" w:hAnsi="等线" w:eastAsia="等线" w:cs="等线"/>
        </w:rPr>
        <w:t>：反映品牌在 AI 语义空间中的错误、偏差、波动与操纵疑似等风险状况。</w:t>
      </w:r>
    </w:p>
    <w:bookmarkEnd w:id="158"/>
    <w:p w14:paraId="334C15AF">
      <w:pPr>
        <w:pStyle w:val="4"/>
        <w:rPr>
          <w:rFonts w:ascii="等线" w:hAnsi="等线" w:eastAsia="等线" w:cs="等线"/>
          <w:color w:val="auto"/>
        </w:rPr>
      </w:pPr>
      <w:bookmarkStart w:id="159" w:name="_Toc224311446"/>
      <w:bookmarkStart w:id="160" w:name="_Toc15803"/>
      <w:bookmarkStart w:id="161" w:name="_Toc4173"/>
      <w:bookmarkStart w:id="162" w:name="两个校准因子"/>
      <w:r>
        <w:rPr>
          <w:rFonts w:hint="eastAsia" w:ascii="等线" w:hAnsi="等线" w:eastAsia="等线" w:cs="等线"/>
          <w:color w:val="auto"/>
        </w:rPr>
        <w:t>2.4 两个校准因子</w:t>
      </w:r>
      <w:bookmarkEnd w:id="159"/>
      <w:bookmarkEnd w:id="160"/>
      <w:bookmarkEnd w:id="161"/>
    </w:p>
    <w:p w14:paraId="08E8983E">
      <w:pPr>
        <w:pStyle w:val="63"/>
        <w:numPr>
          <w:ilvl w:val="0"/>
          <w:numId w:val="9"/>
        </w:numPr>
        <w:rPr>
          <w:rFonts w:ascii="等线" w:hAnsi="等线" w:eastAsia="等线" w:cs="等线"/>
        </w:rPr>
      </w:pPr>
      <w:r>
        <w:rPr>
          <w:rFonts w:hint="eastAsia" w:ascii="等线" w:hAnsi="等线" w:eastAsia="等线" w:cs="等线"/>
          <w:b/>
          <w:bCs/>
        </w:rPr>
        <w:t>UAF（User–AI Alignment Factor）用户–AI 对齐系数</w:t>
      </w:r>
      <w:r>
        <w:rPr>
          <w:rFonts w:hint="eastAsia" w:ascii="等线" w:hAnsi="等线" w:eastAsia="等线" w:cs="等线"/>
        </w:rPr>
        <w:t>：用于反映用户对 AI 的实际使用程度、信任程度以及 AI 对品牌决策的影响程度。</w:t>
      </w:r>
    </w:p>
    <w:p w14:paraId="5E2548CE">
      <w:pPr>
        <w:pStyle w:val="63"/>
        <w:numPr>
          <w:ilvl w:val="0"/>
          <w:numId w:val="9"/>
        </w:numPr>
        <w:rPr>
          <w:rFonts w:ascii="等线" w:hAnsi="等线" w:eastAsia="等线" w:cs="等线"/>
        </w:rPr>
      </w:pPr>
      <w:r>
        <w:rPr>
          <w:rFonts w:hint="eastAsia" w:ascii="等线" w:hAnsi="等线" w:eastAsia="等线" w:cs="等线"/>
          <w:b/>
          <w:bCs/>
        </w:rPr>
        <w:t>MCI（Method Confidence Index）方法置信度指数</w:t>
      </w:r>
      <w:r>
        <w:rPr>
          <w:rFonts w:hint="eastAsia" w:ascii="等线" w:hAnsi="等线" w:eastAsia="等线" w:cs="等线"/>
        </w:rPr>
        <w:t>：用于反映本次评测的数据质量、样本充分性、测试稳定性和多模型覆盖程度。</w:t>
      </w:r>
    </w:p>
    <w:p w14:paraId="5766EF36">
      <w:pPr>
        <w:rPr>
          <w:rFonts w:ascii="等线" w:hAnsi="等线" w:eastAsia="等线" w:cs="等线"/>
        </w:rPr>
      </w:pPr>
    </w:p>
    <w:bookmarkEnd w:id="146"/>
    <w:bookmarkEnd w:id="162"/>
    <w:p w14:paraId="22F3C56F">
      <w:pPr>
        <w:pStyle w:val="3"/>
        <w:rPr>
          <w:rFonts w:ascii="等线" w:hAnsi="等线" w:eastAsia="等线" w:cs="等线"/>
          <w:color w:val="auto"/>
        </w:rPr>
      </w:pPr>
      <w:bookmarkStart w:id="163" w:name="_Toc25277"/>
      <w:bookmarkStart w:id="164" w:name="_Toc224311447"/>
      <w:bookmarkStart w:id="165" w:name="_Toc3786"/>
      <w:bookmarkStart w:id="166" w:name="第三章-总体框架"/>
      <w:r>
        <w:rPr>
          <w:rFonts w:hint="eastAsia" w:ascii="等线" w:hAnsi="等线" w:eastAsia="等线" w:cs="等线"/>
          <w:color w:val="auto"/>
        </w:rPr>
        <w:t>第三章 总体框架</w:t>
      </w:r>
      <w:bookmarkEnd w:id="163"/>
      <w:bookmarkEnd w:id="164"/>
      <w:bookmarkEnd w:id="165"/>
    </w:p>
    <w:p w14:paraId="7CE9EC7E">
      <w:pPr>
        <w:pStyle w:val="4"/>
        <w:rPr>
          <w:rFonts w:ascii="等线" w:hAnsi="等线" w:eastAsia="等线" w:cs="等线"/>
          <w:color w:val="auto"/>
        </w:rPr>
      </w:pPr>
      <w:bookmarkStart w:id="167" w:name="_Toc224311448"/>
      <w:bookmarkStart w:id="168" w:name="_Toc29879"/>
      <w:bookmarkStart w:id="169" w:name="_Toc14779"/>
      <w:bookmarkStart w:id="170" w:name="组合结构"/>
      <w:r>
        <w:rPr>
          <w:rFonts w:hint="eastAsia" w:ascii="等线" w:hAnsi="等线" w:eastAsia="等线" w:cs="等线"/>
          <w:color w:val="auto"/>
        </w:rPr>
        <w:t>3.1 “3+2”组合结构</w:t>
      </w:r>
      <w:bookmarkEnd w:id="167"/>
      <w:bookmarkEnd w:id="168"/>
      <w:bookmarkEnd w:id="169"/>
    </w:p>
    <w:p w14:paraId="35228E51">
      <w:pPr>
        <w:pStyle w:val="62"/>
        <w:rPr>
          <w:rFonts w:ascii="等线" w:hAnsi="等线" w:eastAsia="等线" w:cs="等线"/>
          <w:lang w:eastAsia="zh-CN"/>
        </w:rPr>
      </w:pPr>
      <w:r>
        <w:rPr>
          <w:rFonts w:hint="eastAsia" w:ascii="等线" w:hAnsi="等线" w:eastAsia="等线" w:cs="等线"/>
          <w:lang w:eastAsia="zh-CN"/>
        </w:rPr>
        <w:t>AIBV 采用“三大主指数 + 两个校准因子”的结构：</w:t>
      </w:r>
    </w:p>
    <w:p w14:paraId="09BA8C86">
      <w:pPr>
        <w:pStyle w:val="63"/>
        <w:numPr>
          <w:ilvl w:val="0"/>
          <w:numId w:val="5"/>
        </w:numPr>
        <w:rPr>
          <w:rFonts w:ascii="等线" w:hAnsi="等线" w:eastAsia="等线" w:cs="等线"/>
        </w:rPr>
      </w:pPr>
      <w:r>
        <w:rPr>
          <w:rFonts w:hint="eastAsia" w:ascii="等线" w:hAnsi="等线" w:eastAsia="等线" w:cs="等线"/>
        </w:rPr>
        <w:t>主指数：AIP、AIC、AIR</w:t>
      </w:r>
    </w:p>
    <w:p w14:paraId="54ADB503">
      <w:pPr>
        <w:pStyle w:val="63"/>
        <w:numPr>
          <w:ilvl w:val="0"/>
          <w:numId w:val="5"/>
        </w:numPr>
        <w:rPr>
          <w:rFonts w:ascii="等线" w:hAnsi="等线" w:eastAsia="等线" w:cs="等线"/>
        </w:rPr>
      </w:pPr>
      <w:r>
        <w:rPr>
          <w:rFonts w:hint="eastAsia" w:ascii="等线" w:hAnsi="等线" w:eastAsia="等线" w:cs="等线"/>
        </w:rPr>
        <w:t>校准因子：UAF、MCI</w:t>
      </w:r>
    </w:p>
    <w:p w14:paraId="2706271B">
      <w:pPr>
        <w:pStyle w:val="62"/>
        <w:rPr>
          <w:rFonts w:ascii="等线" w:hAnsi="等线" w:eastAsia="等线" w:cs="等线"/>
          <w:lang w:eastAsia="zh-CN"/>
        </w:rPr>
      </w:pPr>
      <w:r>
        <w:rPr>
          <w:rFonts w:hint="eastAsia" w:ascii="等线" w:hAnsi="等线" w:eastAsia="等线" w:cs="等线"/>
          <w:lang w:eastAsia="zh-CN"/>
        </w:rPr>
        <w:t>在对外展示、研究分析与行业传播中，应同时展示上述五项关键值，而不建议仅展示单一综合分。</w:t>
      </w:r>
    </w:p>
    <w:bookmarkEnd w:id="170"/>
    <w:p w14:paraId="321709AE">
      <w:pPr>
        <w:pStyle w:val="4"/>
        <w:rPr>
          <w:rFonts w:ascii="等线" w:hAnsi="等线" w:eastAsia="等线" w:cs="等线"/>
          <w:color w:val="auto"/>
        </w:rPr>
      </w:pPr>
      <w:bookmarkStart w:id="171" w:name="_Toc224311449"/>
      <w:bookmarkStart w:id="172" w:name="_Toc7987"/>
      <w:bookmarkStart w:id="173" w:name="_Toc5982"/>
      <w:bookmarkStart w:id="174" w:name="分数区间"/>
      <w:r>
        <w:rPr>
          <w:rFonts w:hint="eastAsia" w:ascii="等线" w:hAnsi="等线" w:eastAsia="等线" w:cs="等线"/>
          <w:color w:val="auto"/>
        </w:rPr>
        <w:t>3.2 分数区间</w:t>
      </w:r>
      <w:bookmarkEnd w:id="171"/>
      <w:bookmarkEnd w:id="172"/>
      <w:bookmarkEnd w:id="173"/>
    </w:p>
    <w:p w14:paraId="38DB2E01">
      <w:pPr>
        <w:pStyle w:val="62"/>
        <w:rPr>
          <w:rFonts w:ascii="等线" w:hAnsi="等线" w:eastAsia="等线" w:cs="等线"/>
          <w:lang w:eastAsia="zh-CN"/>
        </w:rPr>
      </w:pPr>
      <w:r>
        <w:rPr>
          <w:rFonts w:hint="eastAsia" w:ascii="等线" w:hAnsi="等线" w:eastAsia="等线" w:cs="等线"/>
          <w:lang w:eastAsia="zh-CN"/>
        </w:rPr>
        <w:t>各主指数、维度指标及子指标统一映射为 0–100 分。分值越高代表表现越好；风险项按“风险越低、得分越高”的原则进行换算。</w:t>
      </w:r>
    </w:p>
    <w:bookmarkEnd w:id="174"/>
    <w:p w14:paraId="4B80B561">
      <w:pPr>
        <w:pStyle w:val="4"/>
        <w:rPr>
          <w:rFonts w:ascii="等线" w:hAnsi="等线" w:eastAsia="等线" w:cs="等线"/>
          <w:color w:val="auto"/>
        </w:rPr>
      </w:pPr>
      <w:bookmarkStart w:id="175" w:name="_Toc224311450"/>
      <w:bookmarkStart w:id="176" w:name="_Toc5170"/>
      <w:bookmarkStart w:id="177" w:name="_Toc11778"/>
      <w:bookmarkStart w:id="178" w:name="输出要求"/>
      <w:r>
        <w:rPr>
          <w:rFonts w:hint="eastAsia" w:ascii="等线" w:hAnsi="等线" w:eastAsia="等线" w:cs="等线"/>
          <w:color w:val="auto"/>
        </w:rPr>
        <w:t>3.3 输出要求</w:t>
      </w:r>
      <w:bookmarkEnd w:id="175"/>
      <w:bookmarkEnd w:id="176"/>
      <w:bookmarkEnd w:id="177"/>
    </w:p>
    <w:p w14:paraId="23BB1BFD">
      <w:pPr>
        <w:pStyle w:val="63"/>
        <w:numPr>
          <w:ilvl w:val="0"/>
          <w:numId w:val="10"/>
        </w:numPr>
        <w:rPr>
          <w:rFonts w:ascii="等线" w:hAnsi="等线" w:eastAsia="等线" w:cs="等线"/>
          <w:lang w:eastAsia="zh-CN"/>
        </w:rPr>
      </w:pPr>
      <w:r>
        <w:rPr>
          <w:rFonts w:hint="eastAsia" w:ascii="等线" w:hAnsi="等线" w:eastAsia="等线" w:cs="等线"/>
          <w:lang w:eastAsia="zh-CN"/>
        </w:rPr>
        <w:t>AIP：AI 表现基础指数；</w:t>
      </w:r>
    </w:p>
    <w:p w14:paraId="5C2D72E7">
      <w:pPr>
        <w:pStyle w:val="63"/>
        <w:numPr>
          <w:ilvl w:val="0"/>
          <w:numId w:val="10"/>
        </w:numPr>
        <w:rPr>
          <w:rFonts w:ascii="等线" w:hAnsi="等线" w:eastAsia="等线" w:cs="等线"/>
          <w:lang w:eastAsia="zh-CN"/>
        </w:rPr>
      </w:pPr>
      <w:r>
        <w:rPr>
          <w:rFonts w:hint="eastAsia" w:ascii="等线" w:hAnsi="等线" w:eastAsia="等线" w:cs="等线"/>
          <w:lang w:eastAsia="zh-CN"/>
        </w:rPr>
        <w:t>AIC：AI 建设指数；</w:t>
      </w:r>
    </w:p>
    <w:p w14:paraId="569DF862">
      <w:pPr>
        <w:pStyle w:val="63"/>
        <w:numPr>
          <w:ilvl w:val="0"/>
          <w:numId w:val="10"/>
        </w:numPr>
        <w:rPr>
          <w:rFonts w:ascii="等线" w:hAnsi="等线" w:eastAsia="等线" w:cs="等线"/>
          <w:lang w:eastAsia="zh-CN"/>
        </w:rPr>
      </w:pPr>
      <w:r>
        <w:rPr>
          <w:rFonts w:hint="eastAsia" w:ascii="等线" w:hAnsi="等线" w:eastAsia="等线" w:cs="等线"/>
          <w:lang w:eastAsia="zh-CN"/>
        </w:rPr>
        <w:t>AIR：AI 风险与稳定性指数；</w:t>
      </w:r>
    </w:p>
    <w:p w14:paraId="054EBA19">
      <w:pPr>
        <w:pStyle w:val="63"/>
        <w:numPr>
          <w:ilvl w:val="0"/>
          <w:numId w:val="10"/>
        </w:numPr>
        <w:rPr>
          <w:rFonts w:ascii="等线" w:hAnsi="等线" w:eastAsia="等线" w:cs="等线"/>
          <w:lang w:eastAsia="zh-CN"/>
        </w:rPr>
      </w:pPr>
      <w:r>
        <w:rPr>
          <w:rFonts w:hint="eastAsia" w:ascii="等线" w:hAnsi="等线" w:eastAsia="等线" w:cs="等线"/>
          <w:lang w:eastAsia="zh-CN"/>
        </w:rPr>
        <w:t>UAF：用户–AI 对齐系数；</w:t>
      </w:r>
    </w:p>
    <w:p w14:paraId="3845F32D">
      <w:pPr>
        <w:pStyle w:val="63"/>
        <w:numPr>
          <w:ilvl w:val="0"/>
          <w:numId w:val="10"/>
        </w:numPr>
        <w:rPr>
          <w:rFonts w:ascii="等线" w:hAnsi="等线" w:eastAsia="等线" w:cs="等线"/>
          <w:lang w:eastAsia="zh-CN"/>
        </w:rPr>
      </w:pPr>
      <w:r>
        <w:rPr>
          <w:rFonts w:hint="eastAsia" w:ascii="等线" w:hAnsi="等线" w:eastAsia="等线" w:cs="等线"/>
          <w:lang w:eastAsia="zh-CN"/>
        </w:rPr>
        <w:t>MCI：方法置信度指数；</w:t>
      </w:r>
    </w:p>
    <w:p w14:paraId="6E8ED19F">
      <w:pPr>
        <w:pStyle w:val="63"/>
        <w:numPr>
          <w:ilvl w:val="0"/>
          <w:numId w:val="10"/>
        </w:numPr>
        <w:rPr>
          <w:rFonts w:ascii="等线" w:hAnsi="等线" w:eastAsia="等线" w:cs="等线"/>
          <w:lang w:eastAsia="zh-CN"/>
        </w:rPr>
      </w:pPr>
      <w:r>
        <w:rPr>
          <w:rFonts w:hint="eastAsia" w:ascii="等线" w:hAnsi="等线" w:eastAsia="等线" w:cs="等线"/>
          <w:lang w:eastAsia="zh-CN"/>
        </w:rPr>
        <w:t>如使用综合指数，应同时说明公式、版本号、测量窗口与置信提示。</w:t>
      </w:r>
    </w:p>
    <w:p w14:paraId="780CBD84">
      <w:pPr>
        <w:rPr>
          <w:rFonts w:ascii="等线" w:hAnsi="等线" w:eastAsia="等线" w:cs="等线"/>
        </w:rPr>
      </w:pPr>
    </w:p>
    <w:bookmarkEnd w:id="166"/>
    <w:bookmarkEnd w:id="178"/>
    <w:p w14:paraId="1BCF5B6E">
      <w:pPr>
        <w:pStyle w:val="3"/>
        <w:rPr>
          <w:rFonts w:ascii="等线" w:hAnsi="等线" w:eastAsia="等线" w:cs="等线"/>
          <w:color w:val="auto"/>
        </w:rPr>
      </w:pPr>
      <w:bookmarkStart w:id="179" w:name="_Toc22221"/>
      <w:bookmarkStart w:id="180" w:name="_Toc224311451"/>
      <w:bookmarkStart w:id="181" w:name="_Toc15005"/>
      <w:bookmarkStart w:id="182" w:name="第四章-aipai-表现基础指数"/>
      <w:r>
        <w:rPr>
          <w:rFonts w:hint="eastAsia" w:ascii="等线" w:hAnsi="等线" w:eastAsia="等线" w:cs="等线"/>
          <w:color w:val="auto"/>
        </w:rPr>
        <w:t>第四章 AIP：AI 表现基础指数</w:t>
      </w:r>
      <w:bookmarkEnd w:id="179"/>
      <w:bookmarkEnd w:id="180"/>
      <w:bookmarkEnd w:id="181"/>
    </w:p>
    <w:p w14:paraId="7CF342C7">
      <w:pPr>
        <w:pStyle w:val="4"/>
        <w:rPr>
          <w:rFonts w:ascii="等线" w:hAnsi="等线" w:eastAsia="等线" w:cs="等线"/>
          <w:color w:val="auto"/>
        </w:rPr>
      </w:pPr>
      <w:bookmarkStart w:id="183" w:name="_Toc224311452"/>
      <w:bookmarkStart w:id="184" w:name="_Toc28006"/>
      <w:bookmarkStart w:id="185" w:name="_Toc17832"/>
      <w:bookmarkStart w:id="186" w:name="维度构成"/>
      <w:r>
        <w:rPr>
          <w:rFonts w:hint="eastAsia" w:ascii="等线" w:hAnsi="等线" w:eastAsia="等线" w:cs="等线"/>
          <w:color w:val="auto"/>
        </w:rPr>
        <w:t>4.1 维度构成</w:t>
      </w:r>
      <w:bookmarkEnd w:id="183"/>
      <w:bookmarkEnd w:id="184"/>
      <w:bookmarkEnd w:id="185"/>
    </w:p>
    <w:p w14:paraId="1B55D8DC">
      <w:pPr>
        <w:pStyle w:val="62"/>
        <w:rPr>
          <w:rFonts w:ascii="等线" w:hAnsi="等线" w:eastAsia="等线" w:cs="等线"/>
          <w:lang w:eastAsia="zh-CN"/>
        </w:rPr>
      </w:pPr>
      <w:r>
        <w:rPr>
          <w:rFonts w:hint="eastAsia" w:ascii="等线" w:hAnsi="等线" w:eastAsia="等线" w:cs="等线"/>
          <w:lang w:eastAsia="zh-CN"/>
        </w:rPr>
        <w:t>AIP 由四个维度组成：</w:t>
      </w:r>
    </w:p>
    <w:p w14:paraId="476D4078">
      <w:pPr>
        <w:pStyle w:val="63"/>
        <w:numPr>
          <w:ilvl w:val="0"/>
          <w:numId w:val="5"/>
        </w:numPr>
        <w:rPr>
          <w:rFonts w:ascii="等线" w:hAnsi="等线" w:eastAsia="等线" w:cs="等线"/>
        </w:rPr>
      </w:pPr>
      <w:r>
        <w:rPr>
          <w:rFonts w:hint="eastAsia" w:ascii="等线" w:hAnsi="等线" w:eastAsia="等线" w:cs="等线"/>
        </w:rPr>
        <w:t>A：认知准确度（Accuracy）</w:t>
      </w:r>
    </w:p>
    <w:p w14:paraId="454F1F8C">
      <w:pPr>
        <w:pStyle w:val="63"/>
        <w:numPr>
          <w:ilvl w:val="0"/>
          <w:numId w:val="5"/>
        </w:numPr>
        <w:rPr>
          <w:rFonts w:ascii="等线" w:hAnsi="等线" w:eastAsia="等线" w:cs="等线"/>
        </w:rPr>
      </w:pPr>
      <w:r>
        <w:rPr>
          <w:rFonts w:hint="eastAsia" w:ascii="等线" w:hAnsi="等线" w:eastAsia="等线" w:cs="等线"/>
        </w:rPr>
        <w:t>B：可见性与召回度（Visibility &amp; Recall）</w:t>
      </w:r>
    </w:p>
    <w:p w14:paraId="077A238A">
      <w:pPr>
        <w:pStyle w:val="63"/>
        <w:numPr>
          <w:ilvl w:val="0"/>
          <w:numId w:val="5"/>
        </w:numPr>
        <w:rPr>
          <w:rFonts w:ascii="等线" w:hAnsi="等线" w:eastAsia="等线" w:cs="等线"/>
        </w:rPr>
      </w:pPr>
      <w:r>
        <w:rPr>
          <w:rFonts w:hint="eastAsia" w:ascii="等线" w:hAnsi="等线" w:eastAsia="等线" w:cs="等线"/>
        </w:rPr>
        <w:t>C：场景适配度（Scenario Fitness）</w:t>
      </w:r>
    </w:p>
    <w:p w14:paraId="73B22B43">
      <w:pPr>
        <w:pStyle w:val="63"/>
        <w:numPr>
          <w:ilvl w:val="0"/>
          <w:numId w:val="5"/>
        </w:numPr>
        <w:rPr>
          <w:rFonts w:ascii="等线" w:hAnsi="等线" w:eastAsia="等线" w:cs="等线"/>
        </w:rPr>
      </w:pPr>
      <w:r>
        <w:rPr>
          <w:rFonts w:hint="eastAsia" w:ascii="等线" w:hAnsi="等线" w:eastAsia="等线" w:cs="等线"/>
        </w:rPr>
        <w:t>D：一致性与调性匹配（Consistency &amp; Tone）</w:t>
      </w:r>
    </w:p>
    <w:bookmarkEnd w:id="186"/>
    <w:p w14:paraId="1532AA25">
      <w:pPr>
        <w:pStyle w:val="4"/>
        <w:rPr>
          <w:rFonts w:ascii="等线" w:hAnsi="等线" w:eastAsia="等线" w:cs="等线"/>
          <w:color w:val="auto"/>
        </w:rPr>
      </w:pPr>
      <w:bookmarkStart w:id="187" w:name="_Toc1228"/>
      <w:bookmarkStart w:id="188" w:name="_Toc224311453"/>
      <w:bookmarkStart w:id="189" w:name="_Toc27293"/>
      <w:bookmarkStart w:id="190" w:name="组合公式"/>
      <w:r>
        <w:rPr>
          <w:rFonts w:hint="eastAsia" w:ascii="等线" w:hAnsi="等线" w:eastAsia="等线" w:cs="等线"/>
          <w:color w:val="auto"/>
        </w:rPr>
        <w:t>4.2 组合公式</w:t>
      </w:r>
      <w:bookmarkEnd w:id="187"/>
      <w:bookmarkEnd w:id="188"/>
      <w:bookmarkEnd w:id="189"/>
    </w:p>
    <w:p w14:paraId="53B60A35">
      <w:pPr>
        <w:pStyle w:val="62"/>
        <w:rPr>
          <w:rFonts w:ascii="等线" w:hAnsi="等线" w:eastAsia="等线" w:cs="等线"/>
          <w:lang w:eastAsia="zh-CN"/>
        </w:rPr>
      </w:pPr>
      <w:r>
        <w:rPr>
          <w:rFonts w:hint="eastAsia" w:ascii="等线" w:hAnsi="等线" w:eastAsia="等线" w:cs="等线"/>
          <w:lang w:eastAsia="zh-CN"/>
        </w:rPr>
        <w:t>AIP 的基本计算公式为：</w:t>
      </w:r>
    </w:p>
    <w:p w14:paraId="09B27903">
      <w:pPr>
        <w:pStyle w:val="10"/>
        <w:rPr>
          <w:rFonts w:ascii="等线" w:hAnsi="等线" w:eastAsia="等线" w:cs="等线"/>
        </w:rPr>
      </w:pPr>
      <w:r>
        <w:rPr>
          <w:rFonts w:hint="eastAsia" w:ascii="等线" w:hAnsi="等线" w:eastAsia="等线" w:cs="等线"/>
        </w:rPr>
        <w:t>AIP = wA × A + wB × B + wC × C + wD × D</w:t>
      </w:r>
    </w:p>
    <w:p w14:paraId="1ED90ED5">
      <w:pPr>
        <w:pStyle w:val="10"/>
        <w:rPr>
          <w:rFonts w:ascii="等线" w:hAnsi="等线" w:eastAsia="等线" w:cs="等线"/>
          <w:lang w:eastAsia="zh-CN"/>
        </w:rPr>
      </w:pPr>
      <w:r>
        <w:rPr>
          <w:rFonts w:hint="eastAsia" w:ascii="等线" w:hAnsi="等线" w:eastAsia="等线" w:cs="等线"/>
          <w:lang w:eastAsia="zh-CN"/>
        </w:rPr>
        <w:t>推荐初始权重为： - wA = 0.30 - wB = 0.30 - wC = 0.20 - wD = 0.20</w:t>
      </w:r>
    </w:p>
    <w:p w14:paraId="081AB156">
      <w:pPr>
        <w:pStyle w:val="10"/>
        <w:rPr>
          <w:rFonts w:ascii="等线" w:hAnsi="等线" w:eastAsia="等线" w:cs="等线"/>
          <w:lang w:eastAsia="zh-CN"/>
        </w:rPr>
      </w:pPr>
      <w:r>
        <w:rPr>
          <w:rFonts w:hint="eastAsia" w:ascii="等线" w:hAnsi="等线" w:eastAsia="等线" w:cs="等线"/>
          <w:lang w:eastAsia="zh-CN"/>
        </w:rPr>
        <w:t>权重参数可结合行业特征和实证结果进行周期性校准。</w:t>
      </w:r>
    </w:p>
    <w:bookmarkEnd w:id="190"/>
    <w:p w14:paraId="0311ED50">
      <w:pPr>
        <w:pStyle w:val="4"/>
        <w:rPr>
          <w:rFonts w:ascii="等线" w:hAnsi="等线" w:eastAsia="等线" w:cs="等线"/>
          <w:color w:val="auto"/>
        </w:rPr>
      </w:pPr>
      <w:bookmarkStart w:id="191" w:name="_Toc224311454"/>
      <w:bookmarkStart w:id="192" w:name="_Toc2490"/>
      <w:bookmarkStart w:id="193" w:name="_Toc24432"/>
      <w:bookmarkStart w:id="194" w:name="维度-a认知准确度"/>
      <w:r>
        <w:rPr>
          <w:rFonts w:hint="eastAsia" w:ascii="等线" w:hAnsi="等线" w:eastAsia="等线" w:cs="等线"/>
          <w:color w:val="auto"/>
        </w:rPr>
        <w:t>4.3 维度 A：认知准确度</w:t>
      </w:r>
      <w:bookmarkEnd w:id="191"/>
      <w:bookmarkEnd w:id="192"/>
      <w:bookmarkEnd w:id="193"/>
    </w:p>
    <w:p w14:paraId="61C9CAF6">
      <w:pPr>
        <w:pStyle w:val="62"/>
        <w:rPr>
          <w:rFonts w:ascii="等线" w:hAnsi="等线" w:eastAsia="等线" w:cs="等线"/>
          <w:lang w:eastAsia="zh-CN"/>
        </w:rPr>
      </w:pPr>
      <w:r>
        <w:rPr>
          <w:rFonts w:hint="eastAsia" w:ascii="等线" w:hAnsi="等线" w:eastAsia="等线" w:cs="等线"/>
          <w:lang w:eastAsia="zh-CN"/>
        </w:rPr>
        <w:t>维度 A 用于衡量 AI 是否准确理解品牌、描述品牌，并能够提供可信且具区分度的认知信息。</w:t>
      </w:r>
    </w:p>
    <w:p w14:paraId="157C225A">
      <w:pPr>
        <w:pStyle w:val="10"/>
        <w:rPr>
          <w:rFonts w:ascii="等线" w:hAnsi="等线" w:eastAsia="等线" w:cs="等线"/>
        </w:rPr>
      </w:pPr>
      <w:r>
        <w:rPr>
          <w:rFonts w:hint="eastAsia" w:ascii="等线" w:hAnsi="等线" w:eastAsia="等线" w:cs="等线"/>
        </w:rPr>
        <w:t>包括以下指标：</w:t>
      </w:r>
    </w:p>
    <w:p w14:paraId="563E9F26">
      <w:pPr>
        <w:pStyle w:val="63"/>
        <w:numPr>
          <w:ilvl w:val="0"/>
          <w:numId w:val="11"/>
        </w:numPr>
        <w:rPr>
          <w:rFonts w:ascii="等线" w:hAnsi="等线" w:eastAsia="等线" w:cs="等线"/>
          <w:lang w:eastAsia="zh-CN"/>
        </w:rPr>
      </w:pPr>
      <w:r>
        <w:rPr>
          <w:rFonts w:hint="eastAsia" w:ascii="等线" w:hAnsi="等线" w:eastAsia="等线" w:cs="等线"/>
          <w:b/>
          <w:bCs/>
          <w:lang w:eastAsia="zh-CN"/>
        </w:rPr>
        <w:t>A1 品牌事实正确率</w:t>
      </w:r>
      <w:r>
        <w:rPr>
          <w:rFonts w:hint="eastAsia" w:ascii="等线" w:hAnsi="等线" w:eastAsia="等线" w:cs="等线"/>
          <w:lang w:eastAsia="zh-CN"/>
        </w:rPr>
        <w:t>：核心事实字段（主体、品类、产品线、价格带、核心能力、关键限制条件等）被正确表述的比例。</w:t>
      </w:r>
    </w:p>
    <w:p w14:paraId="3B6C6772">
      <w:pPr>
        <w:pStyle w:val="63"/>
        <w:numPr>
          <w:ilvl w:val="0"/>
          <w:numId w:val="11"/>
        </w:numPr>
        <w:rPr>
          <w:rFonts w:ascii="等线" w:hAnsi="等线" w:eastAsia="等线" w:cs="等线"/>
          <w:lang w:eastAsia="zh-CN"/>
        </w:rPr>
      </w:pPr>
      <w:r>
        <w:rPr>
          <w:rFonts w:hint="eastAsia" w:ascii="等线" w:hAnsi="等线" w:eastAsia="等线" w:cs="等线"/>
          <w:b/>
          <w:bCs/>
          <w:lang w:eastAsia="zh-CN"/>
        </w:rPr>
        <w:t>A2 核心要素覆盖度</w:t>
      </w:r>
      <w:r>
        <w:rPr>
          <w:rFonts w:hint="eastAsia" w:ascii="等线" w:hAnsi="等线" w:eastAsia="等线" w:cs="等线"/>
          <w:lang w:eastAsia="zh-CN"/>
        </w:rPr>
        <w:t>：回答对品牌关键要素集合的覆盖程度，关键要素按行业模板定义。</w:t>
      </w:r>
    </w:p>
    <w:p w14:paraId="48C956CE">
      <w:pPr>
        <w:pStyle w:val="63"/>
        <w:numPr>
          <w:ilvl w:val="0"/>
          <w:numId w:val="11"/>
        </w:numPr>
        <w:rPr>
          <w:rFonts w:ascii="等线" w:hAnsi="等线" w:eastAsia="等线" w:cs="等线"/>
          <w:lang w:eastAsia="zh-CN"/>
        </w:rPr>
      </w:pPr>
      <w:r>
        <w:rPr>
          <w:rFonts w:hint="eastAsia" w:ascii="等线" w:hAnsi="等线" w:eastAsia="等线" w:cs="等线"/>
          <w:b/>
          <w:bCs/>
          <w:lang w:eastAsia="zh-CN"/>
        </w:rPr>
        <w:t>A3 引用/证据可追溯度</w:t>
      </w:r>
      <w:r>
        <w:rPr>
          <w:rFonts w:hint="eastAsia" w:ascii="等线" w:hAnsi="等线" w:eastAsia="等线" w:cs="等线"/>
          <w:lang w:eastAsia="zh-CN"/>
        </w:rPr>
        <w:t>：衡量回答中是否提供可溯源的出处、来源提示，以及引用来源的权威等级。</w:t>
      </w:r>
    </w:p>
    <w:p w14:paraId="6F14073B">
      <w:pPr>
        <w:pStyle w:val="63"/>
        <w:numPr>
          <w:ilvl w:val="1"/>
          <w:numId w:val="5"/>
        </w:numPr>
        <w:rPr>
          <w:rFonts w:ascii="等线" w:hAnsi="等线" w:eastAsia="等线" w:cs="等线"/>
        </w:rPr>
      </w:pPr>
      <w:r>
        <w:rPr>
          <w:rFonts w:hint="eastAsia" w:ascii="等线" w:hAnsi="等线" w:eastAsia="等线" w:cs="等线"/>
        </w:rPr>
        <w:t>可采用两个子项：</w:t>
      </w:r>
    </w:p>
    <w:p w14:paraId="6E665FF0">
      <w:pPr>
        <w:pStyle w:val="63"/>
        <w:numPr>
          <w:ilvl w:val="2"/>
          <w:numId w:val="5"/>
        </w:numPr>
        <w:rPr>
          <w:rFonts w:ascii="等线" w:hAnsi="等线" w:eastAsia="等线" w:cs="等线"/>
        </w:rPr>
      </w:pPr>
      <w:r>
        <w:rPr>
          <w:rFonts w:hint="eastAsia" w:ascii="等线" w:hAnsi="等线" w:eastAsia="等线" w:cs="等线"/>
        </w:rPr>
        <w:t>CiteRate：回答中出现可溯源出处/来源提示的比例；</w:t>
      </w:r>
    </w:p>
    <w:p w14:paraId="687B5D9D">
      <w:pPr>
        <w:pStyle w:val="63"/>
        <w:numPr>
          <w:ilvl w:val="2"/>
          <w:numId w:val="5"/>
        </w:numPr>
        <w:rPr>
          <w:rFonts w:ascii="等线" w:hAnsi="等线" w:eastAsia="等线" w:cs="等线"/>
        </w:rPr>
      </w:pPr>
      <w:r>
        <w:rPr>
          <w:rFonts w:hint="eastAsia" w:ascii="等线" w:hAnsi="等线" w:eastAsia="等线" w:cs="等线"/>
        </w:rPr>
        <w:t>AuthTier：引用来源等级加权得分。</w:t>
      </w:r>
    </w:p>
    <w:p w14:paraId="5FC351BC">
      <w:pPr>
        <w:pStyle w:val="63"/>
        <w:numPr>
          <w:ilvl w:val="1"/>
          <w:numId w:val="5"/>
        </w:numPr>
        <w:rPr>
          <w:rFonts w:ascii="等线" w:hAnsi="等线" w:eastAsia="等线" w:cs="等线"/>
          <w:lang w:eastAsia="zh-CN"/>
        </w:rPr>
      </w:pPr>
      <w:r>
        <w:rPr>
          <w:rFonts w:hint="eastAsia" w:ascii="等线" w:hAnsi="等线" w:eastAsia="等线" w:cs="等线"/>
          <w:lang w:eastAsia="zh-CN"/>
        </w:rPr>
        <w:t>建议来源等级：政府/标准 &gt; 权威机构 &gt; 权威媒体 &gt; 方法透明测评 &gt; UGC。</w:t>
      </w:r>
    </w:p>
    <w:p w14:paraId="6323833E">
      <w:pPr>
        <w:pStyle w:val="63"/>
        <w:numPr>
          <w:ilvl w:val="0"/>
          <w:numId w:val="11"/>
        </w:numPr>
        <w:rPr>
          <w:rFonts w:ascii="等线" w:hAnsi="等线" w:eastAsia="等线" w:cs="等线"/>
          <w:lang w:eastAsia="zh-CN"/>
        </w:rPr>
      </w:pPr>
      <w:r>
        <w:rPr>
          <w:rFonts w:hint="eastAsia" w:ascii="等线" w:hAnsi="等线" w:eastAsia="等线" w:cs="等线"/>
          <w:b/>
          <w:bCs/>
          <w:lang w:eastAsia="zh-CN"/>
        </w:rPr>
        <w:t>A4 区分度</w:t>
      </w:r>
      <w:r>
        <w:rPr>
          <w:rFonts w:hint="eastAsia" w:ascii="等线" w:hAnsi="等线" w:eastAsia="等线" w:cs="等线"/>
          <w:lang w:eastAsia="zh-CN"/>
        </w:rPr>
        <w:t>：回答是否能够稳定指出品牌与竞品的关键差异点，避免同质化套话。</w:t>
      </w:r>
    </w:p>
    <w:p w14:paraId="646EDB94">
      <w:pPr>
        <w:pStyle w:val="62"/>
        <w:rPr>
          <w:rFonts w:ascii="等线" w:hAnsi="等线" w:eastAsia="等线" w:cs="等线"/>
          <w:lang w:eastAsia="zh-CN"/>
        </w:rPr>
      </w:pPr>
      <w:r>
        <w:rPr>
          <w:rFonts w:hint="eastAsia" w:ascii="等线" w:hAnsi="等线" w:eastAsia="等线" w:cs="等线"/>
          <w:lang w:eastAsia="zh-CN"/>
        </w:rPr>
        <w:t>维度 A 得分为上述指标按设定权重加权平均。</w:t>
      </w:r>
    </w:p>
    <w:bookmarkEnd w:id="194"/>
    <w:p w14:paraId="0BEAB8DA">
      <w:pPr>
        <w:pStyle w:val="4"/>
        <w:rPr>
          <w:rFonts w:ascii="等线" w:hAnsi="等线" w:eastAsia="等线" w:cs="等线"/>
          <w:color w:val="auto"/>
        </w:rPr>
      </w:pPr>
      <w:bookmarkStart w:id="195" w:name="_Toc224311455"/>
      <w:bookmarkStart w:id="196" w:name="_Toc17275"/>
      <w:bookmarkStart w:id="197" w:name="_Toc29713"/>
      <w:bookmarkStart w:id="198" w:name="维度-b可见性与召回度"/>
      <w:r>
        <w:rPr>
          <w:rFonts w:hint="eastAsia" w:ascii="等线" w:hAnsi="等线" w:eastAsia="等线" w:cs="等线"/>
          <w:color w:val="auto"/>
        </w:rPr>
        <w:t>4.4 维度 B：可见性与召回度</w:t>
      </w:r>
      <w:bookmarkEnd w:id="195"/>
      <w:bookmarkEnd w:id="196"/>
      <w:bookmarkEnd w:id="197"/>
    </w:p>
    <w:p w14:paraId="46C22EE1">
      <w:pPr>
        <w:pStyle w:val="62"/>
        <w:rPr>
          <w:rFonts w:ascii="等线" w:hAnsi="等线" w:eastAsia="等线" w:cs="等线"/>
          <w:lang w:eastAsia="zh-CN"/>
        </w:rPr>
      </w:pPr>
      <w:r>
        <w:rPr>
          <w:rFonts w:hint="eastAsia" w:ascii="等线" w:hAnsi="等线" w:eastAsia="等线" w:cs="等线"/>
          <w:lang w:eastAsia="zh-CN"/>
        </w:rPr>
        <w:t>维度 B 用于衡量品牌在不同 AI 场景中被提及、被召回、被展示以及被优先呈现的能力。</w:t>
      </w:r>
    </w:p>
    <w:p w14:paraId="228D439C">
      <w:pPr>
        <w:pStyle w:val="10"/>
        <w:rPr>
          <w:rFonts w:ascii="等线" w:hAnsi="等线" w:eastAsia="等线" w:cs="等线"/>
        </w:rPr>
      </w:pPr>
      <w:r>
        <w:rPr>
          <w:rFonts w:hint="eastAsia" w:ascii="等线" w:hAnsi="等线" w:eastAsia="等线" w:cs="等线"/>
        </w:rPr>
        <w:t>包括以下指标：</w:t>
      </w:r>
    </w:p>
    <w:p w14:paraId="2067714B">
      <w:pPr>
        <w:pStyle w:val="63"/>
        <w:numPr>
          <w:ilvl w:val="0"/>
          <w:numId w:val="12"/>
        </w:numPr>
        <w:rPr>
          <w:rFonts w:ascii="等线" w:hAnsi="等线" w:eastAsia="等线" w:cs="等线"/>
          <w:lang w:eastAsia="zh-CN"/>
        </w:rPr>
      </w:pPr>
      <w:r>
        <w:rPr>
          <w:rFonts w:hint="eastAsia" w:ascii="等线" w:hAnsi="等线" w:eastAsia="等线" w:cs="等线"/>
          <w:b/>
          <w:bCs/>
          <w:lang w:eastAsia="zh-CN"/>
        </w:rPr>
        <w:t>B1 指名检索可见性</w:t>
      </w:r>
      <w:r>
        <w:rPr>
          <w:rFonts w:hint="eastAsia" w:ascii="等线" w:hAnsi="等线" w:eastAsia="等线" w:cs="等线"/>
          <w:lang w:eastAsia="zh-CN"/>
        </w:rPr>
        <w:t>：用户直接询问品牌名称时，品牌是否稳定出现且描述正确。</w:t>
      </w:r>
    </w:p>
    <w:p w14:paraId="3B7217DF">
      <w:pPr>
        <w:pStyle w:val="63"/>
        <w:numPr>
          <w:ilvl w:val="0"/>
          <w:numId w:val="12"/>
        </w:numPr>
        <w:rPr>
          <w:rFonts w:ascii="等线" w:hAnsi="等线" w:eastAsia="等线" w:cs="等线"/>
          <w:lang w:eastAsia="zh-CN"/>
        </w:rPr>
      </w:pPr>
      <w:r>
        <w:rPr>
          <w:rFonts w:hint="eastAsia" w:ascii="等线" w:hAnsi="等线" w:eastAsia="等线" w:cs="等线"/>
          <w:b/>
          <w:bCs/>
          <w:lang w:eastAsia="zh-CN"/>
        </w:rPr>
        <w:t>B2 类目检索可见性</w:t>
      </w:r>
      <w:r>
        <w:rPr>
          <w:rFonts w:hint="eastAsia" w:ascii="等线" w:hAnsi="等线" w:eastAsia="等线" w:cs="等线"/>
          <w:lang w:eastAsia="zh-CN"/>
        </w:rPr>
        <w:t>：用户以品类、需求或任务方式提问时，品牌进入候选集合的比例。</w:t>
      </w:r>
    </w:p>
    <w:p w14:paraId="230AA6BF">
      <w:pPr>
        <w:pStyle w:val="63"/>
        <w:numPr>
          <w:ilvl w:val="0"/>
          <w:numId w:val="12"/>
        </w:numPr>
        <w:rPr>
          <w:rFonts w:ascii="等线" w:hAnsi="等线" w:eastAsia="等线" w:cs="等线"/>
          <w:lang w:eastAsia="zh-CN"/>
        </w:rPr>
      </w:pPr>
      <w:r>
        <w:rPr>
          <w:rFonts w:hint="eastAsia" w:ascii="等线" w:hAnsi="等线" w:eastAsia="等线" w:cs="等线"/>
          <w:b/>
          <w:bCs/>
          <w:lang w:eastAsia="zh-CN"/>
        </w:rPr>
        <w:t>B3 召回排序指数</w:t>
      </w:r>
      <w:r>
        <w:rPr>
          <w:rFonts w:hint="eastAsia" w:ascii="等线" w:hAnsi="等线" w:eastAsia="等线" w:cs="等线"/>
          <w:lang w:eastAsia="zh-CN"/>
        </w:rPr>
        <w:t>：按品牌在答案中的排序位置进行加权统计，适用于显式列表或可判定位次的答案结构。</w:t>
      </w:r>
    </w:p>
    <w:p w14:paraId="6AABB3F8">
      <w:pPr>
        <w:pStyle w:val="63"/>
        <w:numPr>
          <w:ilvl w:val="0"/>
          <w:numId w:val="12"/>
        </w:numPr>
        <w:rPr>
          <w:rFonts w:ascii="等线" w:hAnsi="等线" w:eastAsia="等线" w:cs="等线"/>
          <w:lang w:eastAsia="zh-CN"/>
        </w:rPr>
      </w:pPr>
      <w:r>
        <w:rPr>
          <w:rFonts w:hint="eastAsia" w:ascii="等线" w:hAnsi="等线" w:eastAsia="等线" w:cs="等线"/>
          <w:b/>
          <w:bCs/>
          <w:lang w:eastAsia="zh-CN"/>
        </w:rPr>
        <w:t>B4 覆盖广度指数</w:t>
      </w:r>
      <w:r>
        <w:rPr>
          <w:rFonts w:hint="eastAsia" w:ascii="等线" w:hAnsi="等线" w:eastAsia="等线" w:cs="等线"/>
          <w:lang w:eastAsia="zh-CN"/>
        </w:rPr>
        <w:t>：在多问题类型、多人群、不同约束条件下的整体进入率。</w:t>
      </w:r>
    </w:p>
    <w:p w14:paraId="58240EFA">
      <w:pPr>
        <w:pStyle w:val="63"/>
        <w:numPr>
          <w:ilvl w:val="0"/>
          <w:numId w:val="12"/>
        </w:numPr>
        <w:rPr>
          <w:rFonts w:ascii="等线" w:hAnsi="等线" w:eastAsia="等线" w:cs="等线"/>
          <w:lang w:eastAsia="zh-CN"/>
        </w:rPr>
      </w:pPr>
      <w:r>
        <w:rPr>
          <w:rFonts w:hint="eastAsia" w:ascii="等线" w:hAnsi="等线" w:eastAsia="等线" w:cs="等线"/>
          <w:b/>
          <w:bCs/>
          <w:lang w:eastAsia="zh-CN"/>
        </w:rPr>
        <w:t>B5 答案结构位置加权展示度（PAD）</w:t>
      </w:r>
      <w:r>
        <w:rPr>
          <w:rFonts w:hint="eastAsia" w:ascii="等线" w:hAnsi="等线" w:eastAsia="等线" w:cs="等线"/>
          <w:lang w:eastAsia="zh-CN"/>
        </w:rPr>
        <w:t>：对品牌在首段、结论区、Top 列表、中段、尾段等不同答案结构位置的展示进行加权，反映品牌在答案结构中的真实可见度。</w:t>
      </w:r>
    </w:p>
    <w:p w14:paraId="7A5F7D82">
      <w:pPr>
        <w:pStyle w:val="62"/>
        <w:rPr>
          <w:rFonts w:ascii="等线" w:hAnsi="等线" w:eastAsia="等线" w:cs="等线"/>
          <w:lang w:eastAsia="zh-CN"/>
        </w:rPr>
      </w:pPr>
      <w:r>
        <w:rPr>
          <w:rFonts w:hint="eastAsia" w:ascii="等线" w:hAnsi="等线" w:eastAsia="等线" w:cs="等线"/>
          <w:lang w:eastAsia="zh-CN"/>
        </w:rPr>
        <w:t>在对外传播或项目管理中，可将 B3 与 B5 组合形成增强展示指标，用于更准确反映品牌在 AI 答案中的呈现价值。</w:t>
      </w:r>
    </w:p>
    <w:bookmarkEnd w:id="198"/>
    <w:p w14:paraId="3C5EEB9F">
      <w:pPr>
        <w:pStyle w:val="4"/>
        <w:rPr>
          <w:rFonts w:ascii="等线" w:hAnsi="等线" w:eastAsia="等线" w:cs="等线"/>
          <w:color w:val="auto"/>
        </w:rPr>
      </w:pPr>
      <w:bookmarkStart w:id="199" w:name="_Toc32457"/>
      <w:bookmarkStart w:id="200" w:name="_Toc224311456"/>
      <w:bookmarkStart w:id="201" w:name="_Toc16976"/>
      <w:bookmarkStart w:id="202" w:name="维度-c场景适配度"/>
      <w:r>
        <w:rPr>
          <w:rFonts w:hint="eastAsia" w:ascii="等线" w:hAnsi="等线" w:eastAsia="等线" w:cs="等线"/>
          <w:color w:val="auto"/>
        </w:rPr>
        <w:t>4.5 维度 C：场景适配度</w:t>
      </w:r>
      <w:bookmarkEnd w:id="199"/>
      <w:bookmarkEnd w:id="200"/>
      <w:bookmarkEnd w:id="201"/>
    </w:p>
    <w:p w14:paraId="2082154B">
      <w:pPr>
        <w:pStyle w:val="62"/>
        <w:rPr>
          <w:rFonts w:ascii="等线" w:hAnsi="等线" w:eastAsia="等线" w:cs="等线"/>
          <w:lang w:eastAsia="zh-CN"/>
        </w:rPr>
      </w:pPr>
      <w:r>
        <w:rPr>
          <w:rFonts w:hint="eastAsia" w:ascii="等线" w:hAnsi="等线" w:eastAsia="等线" w:cs="等线"/>
          <w:lang w:eastAsia="zh-CN"/>
        </w:rPr>
        <w:t>维度 C 用于衡量品牌在具体决策场景中的推荐合理性、场景覆盖能力与行动闭环能力。</w:t>
      </w:r>
    </w:p>
    <w:p w14:paraId="3977B29E">
      <w:pPr>
        <w:pStyle w:val="10"/>
        <w:rPr>
          <w:rFonts w:ascii="等线" w:hAnsi="等线" w:eastAsia="等线" w:cs="等线"/>
        </w:rPr>
      </w:pPr>
      <w:r>
        <w:rPr>
          <w:rFonts w:hint="eastAsia" w:ascii="等线" w:hAnsi="等线" w:eastAsia="等线" w:cs="等线"/>
        </w:rPr>
        <w:t>包括以下指标：</w:t>
      </w:r>
    </w:p>
    <w:p w14:paraId="400C1F1B">
      <w:pPr>
        <w:pStyle w:val="63"/>
        <w:numPr>
          <w:ilvl w:val="0"/>
          <w:numId w:val="13"/>
        </w:numPr>
        <w:rPr>
          <w:rFonts w:ascii="等线" w:hAnsi="等线" w:eastAsia="等线" w:cs="等线"/>
          <w:lang w:eastAsia="zh-CN"/>
        </w:rPr>
      </w:pPr>
      <w:r>
        <w:rPr>
          <w:rFonts w:hint="eastAsia" w:ascii="等线" w:hAnsi="等线" w:eastAsia="等线" w:cs="等线"/>
          <w:b/>
          <w:bCs/>
          <w:lang w:eastAsia="zh-CN"/>
        </w:rPr>
        <w:t>C1 场景推荐匹配度</w:t>
      </w:r>
      <w:r>
        <w:rPr>
          <w:rFonts w:hint="eastAsia" w:ascii="等线" w:hAnsi="等线" w:eastAsia="等线" w:cs="等线"/>
          <w:lang w:eastAsia="zh-CN"/>
        </w:rPr>
        <w:t>：在预算、城市、人群、偏好、风险限制等强约束问题中，品牌被推荐的合理性。</w:t>
      </w:r>
    </w:p>
    <w:p w14:paraId="2C122221">
      <w:pPr>
        <w:pStyle w:val="63"/>
        <w:numPr>
          <w:ilvl w:val="0"/>
          <w:numId w:val="13"/>
        </w:numPr>
        <w:rPr>
          <w:rFonts w:ascii="等线" w:hAnsi="等线" w:eastAsia="等线" w:cs="等线"/>
          <w:lang w:eastAsia="zh-CN"/>
        </w:rPr>
      </w:pPr>
      <w:r>
        <w:rPr>
          <w:rFonts w:hint="eastAsia" w:ascii="等线" w:hAnsi="等线" w:eastAsia="等线" w:cs="等线"/>
          <w:b/>
          <w:bCs/>
          <w:lang w:eastAsia="zh-CN"/>
        </w:rPr>
        <w:t>C2 场景覆盖度</w:t>
      </w:r>
      <w:r>
        <w:rPr>
          <w:rFonts w:hint="eastAsia" w:ascii="等线" w:hAnsi="等线" w:eastAsia="等线" w:cs="等线"/>
          <w:lang w:eastAsia="zh-CN"/>
        </w:rPr>
        <w:t>：品牌覆盖关键决策场景的程度，关键场景由行业高价值场景清单定义。</w:t>
      </w:r>
    </w:p>
    <w:p w14:paraId="4EB4253A">
      <w:pPr>
        <w:pStyle w:val="63"/>
        <w:numPr>
          <w:ilvl w:val="0"/>
          <w:numId w:val="13"/>
        </w:numPr>
        <w:rPr>
          <w:rFonts w:ascii="等线" w:hAnsi="等线" w:eastAsia="等线" w:cs="等线"/>
          <w:lang w:eastAsia="zh-CN"/>
        </w:rPr>
      </w:pPr>
      <w:r>
        <w:rPr>
          <w:rFonts w:hint="eastAsia" w:ascii="等线" w:hAnsi="等线" w:eastAsia="等线" w:cs="等线"/>
          <w:b/>
          <w:bCs/>
          <w:lang w:eastAsia="zh-CN"/>
        </w:rPr>
        <w:t>C3 推荐理由链完整度</w:t>
      </w:r>
      <w:r>
        <w:rPr>
          <w:rFonts w:hint="eastAsia" w:ascii="等线" w:hAnsi="等线" w:eastAsia="等线" w:cs="等线"/>
          <w:lang w:eastAsia="zh-CN"/>
        </w:rPr>
        <w:t>：回答是否给出可复述的“为什么选它”的完整理由链，包括卖点、证据或逻辑、适用条件和注意事项。</w:t>
      </w:r>
    </w:p>
    <w:p w14:paraId="700508B8">
      <w:pPr>
        <w:pStyle w:val="63"/>
        <w:numPr>
          <w:ilvl w:val="0"/>
          <w:numId w:val="13"/>
        </w:numPr>
        <w:rPr>
          <w:rFonts w:ascii="等线" w:hAnsi="等线" w:eastAsia="等线" w:cs="等线"/>
          <w:lang w:eastAsia="zh-CN"/>
        </w:rPr>
      </w:pPr>
      <w:r>
        <w:rPr>
          <w:rFonts w:hint="eastAsia" w:ascii="等线" w:hAnsi="等线" w:eastAsia="等线" w:cs="等线"/>
          <w:b/>
          <w:bCs/>
          <w:lang w:eastAsia="zh-CN"/>
        </w:rPr>
        <w:t>C4 答案可执行闭环度</w:t>
      </w:r>
      <w:r>
        <w:rPr>
          <w:rFonts w:hint="eastAsia" w:ascii="等线" w:hAnsi="等线" w:eastAsia="等线" w:cs="等线"/>
          <w:lang w:eastAsia="zh-CN"/>
        </w:rPr>
        <w:t>：回答中是否给出行动所需的关键要素字段，例如渠道、门店、预约、售后、政策、时间戳、操作步骤等。</w:t>
      </w:r>
    </w:p>
    <w:p w14:paraId="0C2C7535">
      <w:pPr>
        <w:pStyle w:val="62"/>
        <w:rPr>
          <w:rFonts w:ascii="等线" w:hAnsi="等线" w:eastAsia="等线" w:cs="等线"/>
          <w:lang w:eastAsia="zh-CN"/>
        </w:rPr>
      </w:pPr>
      <w:r>
        <w:rPr>
          <w:rFonts w:hint="eastAsia" w:ascii="等线" w:hAnsi="等线" w:eastAsia="等线" w:cs="等线"/>
          <w:lang w:eastAsia="zh-CN"/>
        </w:rPr>
        <w:t>维度 C 得分为上述指标按设定权重加权平均。</w:t>
      </w:r>
    </w:p>
    <w:bookmarkEnd w:id="202"/>
    <w:p w14:paraId="20991732">
      <w:pPr>
        <w:pStyle w:val="4"/>
        <w:rPr>
          <w:rFonts w:ascii="等线" w:hAnsi="等线" w:eastAsia="等线" w:cs="等线"/>
          <w:color w:val="auto"/>
        </w:rPr>
      </w:pPr>
      <w:bookmarkStart w:id="203" w:name="_Toc224311457"/>
      <w:bookmarkStart w:id="204" w:name="_Toc3230"/>
      <w:bookmarkStart w:id="205" w:name="_Toc17122"/>
      <w:bookmarkStart w:id="206" w:name="维度-d一致性与调性匹配"/>
      <w:r>
        <w:rPr>
          <w:rFonts w:hint="eastAsia" w:ascii="等线" w:hAnsi="等线" w:eastAsia="等线" w:cs="等线"/>
          <w:color w:val="auto"/>
        </w:rPr>
        <w:t>4.6 维度 D：一致性与调性匹配</w:t>
      </w:r>
      <w:bookmarkEnd w:id="203"/>
      <w:bookmarkEnd w:id="204"/>
      <w:bookmarkEnd w:id="205"/>
    </w:p>
    <w:p w14:paraId="2C1BA1B2">
      <w:pPr>
        <w:pStyle w:val="62"/>
        <w:rPr>
          <w:rFonts w:ascii="等线" w:hAnsi="等线" w:eastAsia="等线" w:cs="等线"/>
          <w:lang w:eastAsia="zh-CN"/>
        </w:rPr>
      </w:pPr>
      <w:r>
        <w:rPr>
          <w:rFonts w:hint="eastAsia" w:ascii="等线" w:hAnsi="等线" w:eastAsia="等线" w:cs="等线"/>
          <w:lang w:eastAsia="zh-CN"/>
        </w:rPr>
        <w:t>维度 D 用于衡量品牌在不同模型、不同时间和不同表达环境中的稳定性与品牌风格一致性。</w:t>
      </w:r>
    </w:p>
    <w:p w14:paraId="3B16FCE9">
      <w:pPr>
        <w:pStyle w:val="10"/>
        <w:rPr>
          <w:rFonts w:ascii="等线" w:hAnsi="等线" w:eastAsia="等线" w:cs="等线"/>
        </w:rPr>
      </w:pPr>
      <w:r>
        <w:rPr>
          <w:rFonts w:hint="eastAsia" w:ascii="等线" w:hAnsi="等线" w:eastAsia="等线" w:cs="等线"/>
        </w:rPr>
        <w:t>包括以下指标：</w:t>
      </w:r>
    </w:p>
    <w:p w14:paraId="7BF148EA">
      <w:pPr>
        <w:pStyle w:val="63"/>
        <w:numPr>
          <w:ilvl w:val="0"/>
          <w:numId w:val="14"/>
        </w:numPr>
        <w:rPr>
          <w:rFonts w:ascii="等线" w:hAnsi="等线" w:eastAsia="等线" w:cs="等线"/>
          <w:lang w:eastAsia="zh-CN"/>
        </w:rPr>
      </w:pPr>
      <w:r>
        <w:rPr>
          <w:rFonts w:hint="eastAsia" w:ascii="等线" w:hAnsi="等线" w:eastAsia="等线" w:cs="等线"/>
          <w:b/>
          <w:bCs/>
          <w:lang w:eastAsia="zh-CN"/>
        </w:rPr>
        <w:t>D1 跨模型一致性指数</w:t>
      </w:r>
      <w:r>
        <w:rPr>
          <w:rFonts w:hint="eastAsia" w:ascii="等线" w:hAnsi="等线" w:eastAsia="等线" w:cs="等线"/>
          <w:lang w:eastAsia="zh-CN"/>
        </w:rPr>
        <w:t>：不同模型回答之间的语义相似度或关键要素一致程度。</w:t>
      </w:r>
    </w:p>
    <w:p w14:paraId="728723C7">
      <w:pPr>
        <w:pStyle w:val="63"/>
        <w:numPr>
          <w:ilvl w:val="0"/>
          <w:numId w:val="14"/>
        </w:numPr>
        <w:rPr>
          <w:rFonts w:ascii="等线" w:hAnsi="等线" w:eastAsia="等线" w:cs="等线"/>
          <w:lang w:eastAsia="zh-CN"/>
        </w:rPr>
      </w:pPr>
      <w:r>
        <w:rPr>
          <w:rFonts w:hint="eastAsia" w:ascii="等线" w:hAnsi="等线" w:eastAsia="等线" w:cs="等线"/>
          <w:b/>
          <w:bCs/>
          <w:lang w:eastAsia="zh-CN"/>
        </w:rPr>
        <w:t>D2 跨时间稳定性指数</w:t>
      </w:r>
      <w:r>
        <w:rPr>
          <w:rFonts w:hint="eastAsia" w:ascii="等线" w:hAnsi="等线" w:eastAsia="等线" w:cs="等线"/>
          <w:lang w:eastAsia="zh-CN"/>
        </w:rPr>
        <w:t>：不同时间批次回答之间的一致性程度。</w:t>
      </w:r>
    </w:p>
    <w:p w14:paraId="4574835A">
      <w:pPr>
        <w:pStyle w:val="63"/>
        <w:numPr>
          <w:ilvl w:val="0"/>
          <w:numId w:val="14"/>
        </w:numPr>
        <w:rPr>
          <w:rFonts w:ascii="等线" w:hAnsi="等线" w:eastAsia="等线" w:cs="等线"/>
          <w:lang w:eastAsia="zh-CN"/>
        </w:rPr>
      </w:pPr>
      <w:r>
        <w:rPr>
          <w:rFonts w:hint="eastAsia" w:ascii="等线" w:hAnsi="等线" w:eastAsia="等线" w:cs="等线"/>
          <w:b/>
          <w:bCs/>
          <w:lang w:eastAsia="zh-CN"/>
        </w:rPr>
        <w:t>D3 调性匹配度</w:t>
      </w:r>
      <w:r>
        <w:rPr>
          <w:rFonts w:hint="eastAsia" w:ascii="等线" w:hAnsi="等线" w:eastAsia="等线" w:cs="等线"/>
          <w:lang w:eastAsia="zh-CN"/>
        </w:rPr>
        <w:t>：回答语气、价值观与品牌调性的匹配程度。</w:t>
      </w:r>
    </w:p>
    <w:p w14:paraId="21DFE97E">
      <w:pPr>
        <w:pStyle w:val="62"/>
        <w:rPr>
          <w:rFonts w:ascii="等线" w:hAnsi="等线" w:eastAsia="等线" w:cs="等线"/>
          <w:lang w:eastAsia="zh-CN"/>
        </w:rPr>
      </w:pPr>
      <w:r>
        <w:rPr>
          <w:rFonts w:hint="eastAsia" w:ascii="等线" w:hAnsi="等线" w:eastAsia="等线" w:cs="等线"/>
          <w:lang w:eastAsia="zh-CN"/>
        </w:rPr>
        <w:t>维度 D 得分为上述指标按设定权重加权平均。</w:t>
      </w:r>
    </w:p>
    <w:p w14:paraId="260D396D">
      <w:pPr>
        <w:rPr>
          <w:rFonts w:ascii="等线" w:hAnsi="等线" w:eastAsia="等线" w:cs="等线"/>
        </w:rPr>
      </w:pPr>
    </w:p>
    <w:bookmarkEnd w:id="182"/>
    <w:bookmarkEnd w:id="206"/>
    <w:p w14:paraId="6460DC58">
      <w:pPr>
        <w:pStyle w:val="3"/>
        <w:rPr>
          <w:rFonts w:ascii="等线" w:hAnsi="等线" w:eastAsia="等线" w:cs="等线"/>
          <w:color w:val="auto"/>
        </w:rPr>
      </w:pPr>
      <w:bookmarkStart w:id="207" w:name="_Toc224311458"/>
      <w:bookmarkStart w:id="208" w:name="_Toc30604"/>
      <w:bookmarkStart w:id="209" w:name="_Toc4142"/>
      <w:bookmarkStart w:id="210" w:name="第五章-aicai-建设指数"/>
      <w:r>
        <w:rPr>
          <w:rFonts w:hint="eastAsia" w:ascii="等线" w:hAnsi="等线" w:eastAsia="等线" w:cs="等线"/>
          <w:color w:val="auto"/>
        </w:rPr>
        <w:t>第五章 AIC：AI 建设指数</w:t>
      </w:r>
      <w:bookmarkEnd w:id="207"/>
      <w:bookmarkEnd w:id="208"/>
      <w:bookmarkEnd w:id="209"/>
    </w:p>
    <w:p w14:paraId="72F1FC53">
      <w:pPr>
        <w:pStyle w:val="4"/>
        <w:rPr>
          <w:rFonts w:ascii="等线" w:hAnsi="等线" w:eastAsia="等线" w:cs="等线"/>
          <w:color w:val="auto"/>
        </w:rPr>
      </w:pPr>
      <w:bookmarkStart w:id="211" w:name="_Toc15981"/>
      <w:bookmarkStart w:id="212" w:name="_Toc224311459"/>
      <w:bookmarkStart w:id="213" w:name="_Toc18549"/>
      <w:bookmarkStart w:id="214" w:name="指数定义"/>
      <w:r>
        <w:rPr>
          <w:rFonts w:hint="eastAsia" w:ascii="等线" w:hAnsi="等线" w:eastAsia="等线" w:cs="等线"/>
          <w:color w:val="auto"/>
        </w:rPr>
        <w:t>5.1 指数定义</w:t>
      </w:r>
      <w:bookmarkEnd w:id="211"/>
      <w:bookmarkEnd w:id="212"/>
      <w:bookmarkEnd w:id="213"/>
    </w:p>
    <w:p w14:paraId="4869EC9F">
      <w:pPr>
        <w:pStyle w:val="62"/>
        <w:rPr>
          <w:rFonts w:ascii="等线" w:hAnsi="等线" w:eastAsia="等线" w:cs="等线"/>
          <w:lang w:eastAsia="zh-CN"/>
        </w:rPr>
      </w:pPr>
      <w:r>
        <w:rPr>
          <w:rFonts w:hint="eastAsia" w:ascii="等线" w:hAnsi="等线" w:eastAsia="等线" w:cs="等线"/>
          <w:lang w:eastAsia="zh-CN"/>
        </w:rPr>
        <w:t>AIC 反映品牌为了提升其在 AI 语义空间中的存在质量、推荐能力与治理能力所进行的系统性建设水平。</w:t>
      </w:r>
    </w:p>
    <w:bookmarkEnd w:id="214"/>
    <w:p w14:paraId="22A75BF7">
      <w:pPr>
        <w:pStyle w:val="4"/>
        <w:rPr>
          <w:rFonts w:ascii="等线" w:hAnsi="等线" w:eastAsia="等线" w:cs="等线"/>
          <w:color w:val="auto"/>
        </w:rPr>
      </w:pPr>
      <w:bookmarkStart w:id="215" w:name="_Toc224311460"/>
      <w:bookmarkStart w:id="216" w:name="_Toc17403"/>
      <w:bookmarkStart w:id="217" w:name="_Toc22413"/>
      <w:bookmarkStart w:id="218" w:name="指标构成"/>
      <w:r>
        <w:rPr>
          <w:rFonts w:hint="eastAsia" w:ascii="等线" w:hAnsi="等线" w:eastAsia="等线" w:cs="等线"/>
          <w:color w:val="auto"/>
        </w:rPr>
        <w:t>5.2 指标构成</w:t>
      </w:r>
      <w:bookmarkEnd w:id="215"/>
      <w:bookmarkEnd w:id="216"/>
      <w:bookmarkEnd w:id="217"/>
    </w:p>
    <w:p w14:paraId="097FE228">
      <w:pPr>
        <w:pStyle w:val="62"/>
        <w:rPr>
          <w:rFonts w:ascii="等线" w:hAnsi="等线" w:eastAsia="等线" w:cs="等线"/>
          <w:lang w:eastAsia="zh-CN"/>
        </w:rPr>
      </w:pPr>
      <w:r>
        <w:rPr>
          <w:rFonts w:hint="eastAsia" w:ascii="等线" w:hAnsi="等线" w:eastAsia="等线" w:cs="等线"/>
          <w:lang w:eastAsia="zh-CN"/>
        </w:rPr>
        <w:t>AIC 由三个能力类指标构成，可采用 0–5 级成熟度评估并映射为 0–100 分：</w:t>
      </w:r>
    </w:p>
    <w:p w14:paraId="0A13E0B1">
      <w:pPr>
        <w:pStyle w:val="63"/>
        <w:numPr>
          <w:ilvl w:val="0"/>
          <w:numId w:val="15"/>
        </w:numPr>
        <w:rPr>
          <w:rFonts w:ascii="等线" w:hAnsi="等线" w:eastAsia="等线" w:cs="等线"/>
          <w:lang w:eastAsia="zh-CN"/>
        </w:rPr>
      </w:pPr>
      <w:r>
        <w:rPr>
          <w:rFonts w:hint="eastAsia" w:ascii="等线" w:hAnsi="等线" w:eastAsia="等线" w:cs="等线"/>
          <w:b/>
          <w:bCs/>
          <w:lang w:eastAsia="zh-CN"/>
        </w:rPr>
        <w:t>E1 AI 语料与知识库建设水平</w:t>
      </w:r>
    </w:p>
    <w:p w14:paraId="379F96B5">
      <w:pPr>
        <w:pStyle w:val="63"/>
        <w:numPr>
          <w:ilvl w:val="1"/>
          <w:numId w:val="5"/>
        </w:numPr>
        <w:rPr>
          <w:rFonts w:ascii="等线" w:hAnsi="等线" w:eastAsia="等线" w:cs="等线"/>
          <w:lang w:eastAsia="zh-CN"/>
        </w:rPr>
      </w:pPr>
      <w:r>
        <w:rPr>
          <w:rFonts w:hint="eastAsia" w:ascii="等线" w:hAnsi="等线" w:eastAsia="等线" w:cs="等线"/>
          <w:lang w:eastAsia="zh-CN"/>
        </w:rPr>
        <w:t>是否建设结构化品牌知识库；</w:t>
      </w:r>
    </w:p>
    <w:p w14:paraId="00655E45">
      <w:pPr>
        <w:pStyle w:val="63"/>
        <w:numPr>
          <w:ilvl w:val="1"/>
          <w:numId w:val="5"/>
        </w:numPr>
        <w:rPr>
          <w:rFonts w:ascii="等线" w:hAnsi="等线" w:eastAsia="等线" w:cs="等线"/>
          <w:lang w:eastAsia="zh-CN"/>
        </w:rPr>
      </w:pPr>
      <w:r>
        <w:rPr>
          <w:rFonts w:hint="eastAsia" w:ascii="等线" w:hAnsi="等线" w:eastAsia="等线" w:cs="等线"/>
          <w:lang w:eastAsia="zh-CN"/>
        </w:rPr>
        <w:t>是否具备 FAQ、产品文档、参数说明、接口接入能力；</w:t>
      </w:r>
    </w:p>
    <w:p w14:paraId="4BDE3F9A">
      <w:pPr>
        <w:pStyle w:val="63"/>
        <w:numPr>
          <w:ilvl w:val="1"/>
          <w:numId w:val="5"/>
        </w:numPr>
        <w:rPr>
          <w:rFonts w:ascii="等线" w:hAnsi="等线" w:eastAsia="等线" w:cs="等线"/>
          <w:lang w:eastAsia="zh-CN"/>
        </w:rPr>
      </w:pPr>
      <w:r>
        <w:rPr>
          <w:rFonts w:hint="eastAsia" w:ascii="等线" w:hAnsi="等线" w:eastAsia="等线" w:cs="等线"/>
          <w:lang w:eastAsia="zh-CN"/>
        </w:rPr>
        <w:t>知识更新与版本维护机制是否完善。</w:t>
      </w:r>
    </w:p>
    <w:p w14:paraId="283ADC2D">
      <w:pPr>
        <w:pStyle w:val="63"/>
        <w:numPr>
          <w:ilvl w:val="0"/>
          <w:numId w:val="15"/>
        </w:numPr>
        <w:rPr>
          <w:rFonts w:ascii="等线" w:hAnsi="等线" w:eastAsia="等线" w:cs="等线"/>
        </w:rPr>
      </w:pPr>
      <w:r>
        <w:rPr>
          <w:rFonts w:hint="eastAsia" w:ascii="等线" w:hAnsi="等线" w:eastAsia="等线" w:cs="等线"/>
          <w:b/>
          <w:bCs/>
        </w:rPr>
        <w:t>E2 AI 落地应用成熟度</w:t>
      </w:r>
    </w:p>
    <w:p w14:paraId="751D7B6B">
      <w:pPr>
        <w:pStyle w:val="63"/>
        <w:numPr>
          <w:ilvl w:val="1"/>
          <w:numId w:val="5"/>
        </w:numPr>
        <w:rPr>
          <w:rFonts w:ascii="等线" w:hAnsi="等线" w:eastAsia="等线" w:cs="等线"/>
          <w:lang w:eastAsia="zh-CN"/>
        </w:rPr>
      </w:pPr>
      <w:r>
        <w:rPr>
          <w:rFonts w:hint="eastAsia" w:ascii="等线" w:hAnsi="等线" w:eastAsia="等线" w:cs="等线"/>
          <w:lang w:eastAsia="zh-CN"/>
        </w:rPr>
        <w:t>AI 在客服、营销、运营、产品研发等环节的覆盖范围；</w:t>
      </w:r>
    </w:p>
    <w:p w14:paraId="0714A63F">
      <w:pPr>
        <w:pStyle w:val="63"/>
        <w:numPr>
          <w:ilvl w:val="1"/>
          <w:numId w:val="5"/>
        </w:numPr>
        <w:rPr>
          <w:rFonts w:ascii="等线" w:hAnsi="等线" w:eastAsia="等线" w:cs="等线"/>
          <w:lang w:eastAsia="zh-CN"/>
        </w:rPr>
      </w:pPr>
      <w:r>
        <w:rPr>
          <w:rFonts w:hint="eastAsia" w:ascii="等线" w:hAnsi="等线" w:eastAsia="等线" w:cs="等线"/>
          <w:lang w:eastAsia="zh-CN"/>
        </w:rPr>
        <w:t>是否已从试点走向规模化应用；</w:t>
      </w:r>
    </w:p>
    <w:p w14:paraId="3E3A616E">
      <w:pPr>
        <w:pStyle w:val="63"/>
        <w:numPr>
          <w:ilvl w:val="1"/>
          <w:numId w:val="5"/>
        </w:numPr>
        <w:rPr>
          <w:rFonts w:ascii="等线" w:hAnsi="等线" w:eastAsia="等线" w:cs="等线"/>
          <w:lang w:eastAsia="zh-CN"/>
        </w:rPr>
      </w:pPr>
      <w:r>
        <w:rPr>
          <w:rFonts w:hint="eastAsia" w:ascii="等线" w:hAnsi="等线" w:eastAsia="等线" w:cs="等线"/>
          <w:lang w:eastAsia="zh-CN"/>
        </w:rPr>
        <w:t>是否形成业务闭环与效果验证。</w:t>
      </w:r>
    </w:p>
    <w:p w14:paraId="60B888AF">
      <w:pPr>
        <w:pStyle w:val="63"/>
        <w:numPr>
          <w:ilvl w:val="0"/>
          <w:numId w:val="15"/>
        </w:numPr>
        <w:rPr>
          <w:rFonts w:ascii="等线" w:hAnsi="等线" w:eastAsia="等线" w:cs="等线"/>
          <w:lang w:eastAsia="zh-CN"/>
        </w:rPr>
      </w:pPr>
      <w:r>
        <w:rPr>
          <w:rFonts w:hint="eastAsia" w:ascii="等线" w:hAnsi="等线" w:eastAsia="等线" w:cs="等线"/>
          <w:b/>
          <w:bCs/>
          <w:lang w:eastAsia="zh-CN"/>
        </w:rPr>
        <w:t>E3 AI 战略与实践透明度</w:t>
      </w:r>
    </w:p>
    <w:p w14:paraId="2260859B">
      <w:pPr>
        <w:pStyle w:val="63"/>
        <w:numPr>
          <w:ilvl w:val="1"/>
          <w:numId w:val="5"/>
        </w:numPr>
        <w:rPr>
          <w:rFonts w:ascii="等线" w:hAnsi="等线" w:eastAsia="等线" w:cs="等线"/>
          <w:lang w:eastAsia="zh-CN"/>
        </w:rPr>
      </w:pPr>
      <w:r>
        <w:rPr>
          <w:rFonts w:hint="eastAsia" w:ascii="等线" w:hAnsi="等线" w:eastAsia="等线" w:cs="等线"/>
          <w:lang w:eastAsia="zh-CN"/>
        </w:rPr>
        <w:t>企业在年报、官网、ESG、公开说明等渠道中对 AI 战略与实践的披露程度；</w:t>
      </w:r>
    </w:p>
    <w:p w14:paraId="6BF25197">
      <w:pPr>
        <w:pStyle w:val="63"/>
        <w:numPr>
          <w:ilvl w:val="1"/>
          <w:numId w:val="5"/>
        </w:numPr>
        <w:rPr>
          <w:rFonts w:ascii="等线" w:hAnsi="等线" w:eastAsia="等线" w:cs="等线"/>
          <w:lang w:eastAsia="zh-CN"/>
        </w:rPr>
      </w:pPr>
      <w:r>
        <w:rPr>
          <w:rFonts w:hint="eastAsia" w:ascii="等线" w:hAnsi="等线" w:eastAsia="等线" w:cs="等线"/>
          <w:lang w:eastAsia="zh-CN"/>
        </w:rPr>
        <w:t>外部可验证的信息是否充分；</w:t>
      </w:r>
    </w:p>
    <w:p w14:paraId="4A30F63B">
      <w:pPr>
        <w:pStyle w:val="63"/>
        <w:numPr>
          <w:ilvl w:val="1"/>
          <w:numId w:val="5"/>
        </w:numPr>
        <w:rPr>
          <w:rFonts w:ascii="等线" w:hAnsi="等线" w:eastAsia="等线" w:cs="等线"/>
          <w:lang w:eastAsia="zh-CN"/>
        </w:rPr>
      </w:pPr>
      <w:r>
        <w:rPr>
          <w:rFonts w:hint="eastAsia" w:ascii="等线" w:hAnsi="等线" w:eastAsia="等线" w:cs="等线"/>
          <w:lang w:eastAsia="zh-CN"/>
        </w:rPr>
        <w:t>是否体现持续投入与制度化建设。</w:t>
      </w:r>
    </w:p>
    <w:bookmarkEnd w:id="218"/>
    <w:p w14:paraId="53631052">
      <w:pPr>
        <w:pStyle w:val="4"/>
        <w:rPr>
          <w:rFonts w:ascii="等线" w:hAnsi="等线" w:eastAsia="等线" w:cs="等线"/>
          <w:color w:val="auto"/>
        </w:rPr>
      </w:pPr>
      <w:bookmarkStart w:id="219" w:name="_Toc4399"/>
      <w:bookmarkStart w:id="220" w:name="_Toc224311461"/>
      <w:bookmarkStart w:id="221" w:name="_Toc31020"/>
      <w:bookmarkStart w:id="222" w:name="计算方法"/>
      <w:r>
        <w:rPr>
          <w:rFonts w:hint="eastAsia" w:ascii="等线" w:hAnsi="等线" w:eastAsia="等线" w:cs="等线"/>
          <w:color w:val="auto"/>
        </w:rPr>
        <w:t>5.3 计算方法</w:t>
      </w:r>
      <w:bookmarkEnd w:id="219"/>
      <w:bookmarkEnd w:id="220"/>
      <w:bookmarkEnd w:id="221"/>
    </w:p>
    <w:p w14:paraId="1A76004B">
      <w:pPr>
        <w:pStyle w:val="62"/>
        <w:rPr>
          <w:rFonts w:ascii="等线" w:hAnsi="等线" w:eastAsia="等线" w:cs="等线"/>
          <w:lang w:eastAsia="zh-CN"/>
        </w:rPr>
      </w:pPr>
      <w:r>
        <w:rPr>
          <w:rFonts w:hint="eastAsia" w:ascii="等线" w:hAnsi="等线" w:eastAsia="等线" w:cs="等线"/>
          <w:lang w:eastAsia="zh-CN"/>
        </w:rPr>
        <w:t>AIC = v1 × E1 + v2 × E2 + v3 × E3</w:t>
      </w:r>
    </w:p>
    <w:p w14:paraId="3BF6034E">
      <w:pPr>
        <w:pStyle w:val="10"/>
        <w:rPr>
          <w:rFonts w:ascii="等线" w:hAnsi="等线" w:eastAsia="等线" w:cs="等线"/>
          <w:lang w:eastAsia="zh-CN"/>
        </w:rPr>
      </w:pPr>
      <w:r>
        <w:rPr>
          <w:rFonts w:hint="eastAsia" w:ascii="等线" w:hAnsi="等线" w:eastAsia="等线" w:cs="等线"/>
          <w:lang w:eastAsia="zh-CN"/>
        </w:rPr>
        <w:t>推荐初始权重为： - v1 = 1/3 - v2 = 1/3 - v3 = 1/3</w:t>
      </w:r>
    </w:p>
    <w:p w14:paraId="67E99ACE">
      <w:pPr>
        <w:pStyle w:val="10"/>
        <w:rPr>
          <w:rFonts w:ascii="等线" w:hAnsi="等线" w:eastAsia="等线" w:cs="等线"/>
          <w:lang w:eastAsia="zh-CN"/>
        </w:rPr>
      </w:pPr>
      <w:r>
        <w:rPr>
          <w:rFonts w:hint="eastAsia" w:ascii="等线" w:hAnsi="等线" w:eastAsia="等线" w:cs="等线"/>
          <w:lang w:eastAsia="zh-CN"/>
        </w:rPr>
        <w:t>如具备行业实证基础，可进行权重调整。</w:t>
      </w:r>
    </w:p>
    <w:p w14:paraId="07E4B804">
      <w:pPr>
        <w:rPr>
          <w:rFonts w:ascii="等线" w:hAnsi="等线" w:eastAsia="等线" w:cs="等线"/>
        </w:rPr>
      </w:pPr>
    </w:p>
    <w:bookmarkEnd w:id="210"/>
    <w:bookmarkEnd w:id="222"/>
    <w:p w14:paraId="6C74297F">
      <w:pPr>
        <w:pStyle w:val="3"/>
        <w:rPr>
          <w:rFonts w:ascii="等线" w:hAnsi="等线" w:eastAsia="等线" w:cs="等线"/>
          <w:color w:val="auto"/>
        </w:rPr>
      </w:pPr>
      <w:bookmarkStart w:id="223" w:name="_Toc2726"/>
      <w:bookmarkStart w:id="224" w:name="_Toc224311462"/>
      <w:bookmarkStart w:id="225" w:name="_Toc908"/>
      <w:bookmarkStart w:id="226" w:name="第六章-airai-风险与稳定性指数"/>
      <w:r>
        <w:rPr>
          <w:rFonts w:hint="eastAsia" w:ascii="等线" w:hAnsi="等线" w:eastAsia="等线" w:cs="等线"/>
          <w:color w:val="auto"/>
        </w:rPr>
        <w:t>第六章 AIR：AI 风险与稳定性指数</w:t>
      </w:r>
      <w:bookmarkEnd w:id="223"/>
      <w:bookmarkEnd w:id="224"/>
      <w:bookmarkEnd w:id="225"/>
    </w:p>
    <w:p w14:paraId="3F68E83F">
      <w:pPr>
        <w:pStyle w:val="4"/>
        <w:rPr>
          <w:rFonts w:ascii="等线" w:hAnsi="等线" w:eastAsia="等线" w:cs="等线"/>
          <w:color w:val="auto"/>
        </w:rPr>
      </w:pPr>
      <w:bookmarkStart w:id="227" w:name="_Toc19193"/>
      <w:bookmarkStart w:id="228" w:name="_Toc224311463"/>
      <w:bookmarkStart w:id="229" w:name="_Toc17125"/>
      <w:bookmarkStart w:id="230" w:name="指数定义-1"/>
      <w:r>
        <w:rPr>
          <w:rFonts w:hint="eastAsia" w:ascii="等线" w:hAnsi="等线" w:eastAsia="等线" w:cs="等线"/>
          <w:color w:val="auto"/>
        </w:rPr>
        <w:t>6.1 指数定义</w:t>
      </w:r>
      <w:bookmarkEnd w:id="227"/>
      <w:bookmarkEnd w:id="228"/>
      <w:bookmarkEnd w:id="229"/>
    </w:p>
    <w:p w14:paraId="36A27D26">
      <w:pPr>
        <w:pStyle w:val="62"/>
        <w:rPr>
          <w:rFonts w:ascii="等线" w:hAnsi="等线" w:eastAsia="等线" w:cs="等线"/>
          <w:lang w:eastAsia="zh-CN"/>
        </w:rPr>
      </w:pPr>
      <w:r>
        <w:rPr>
          <w:rFonts w:hint="eastAsia" w:ascii="等线" w:hAnsi="等线" w:eastAsia="等线" w:cs="等线"/>
          <w:lang w:eastAsia="zh-CN"/>
        </w:rPr>
        <w:t>AIR 用于衡量品牌在 AI 语义空间中的错误风险、负面偏差、结果波动及操纵疑似等风险情况。其原则为“风险越低，得分越高”。</w:t>
      </w:r>
    </w:p>
    <w:bookmarkEnd w:id="230"/>
    <w:p w14:paraId="12A7E07E">
      <w:pPr>
        <w:pStyle w:val="4"/>
        <w:rPr>
          <w:rFonts w:ascii="等线" w:hAnsi="等线" w:eastAsia="等线" w:cs="等线"/>
          <w:color w:val="auto"/>
        </w:rPr>
      </w:pPr>
      <w:bookmarkStart w:id="231" w:name="_Toc21516"/>
      <w:bookmarkStart w:id="232" w:name="_Toc224311464"/>
      <w:bookmarkStart w:id="233" w:name="_Toc9441"/>
      <w:bookmarkStart w:id="234" w:name="指标构成-1"/>
      <w:r>
        <w:rPr>
          <w:rFonts w:hint="eastAsia" w:ascii="等线" w:hAnsi="等线" w:eastAsia="等线" w:cs="等线"/>
          <w:color w:val="auto"/>
        </w:rPr>
        <w:t>6.2 指标构成</w:t>
      </w:r>
      <w:bookmarkEnd w:id="231"/>
      <w:bookmarkEnd w:id="232"/>
      <w:bookmarkEnd w:id="233"/>
    </w:p>
    <w:p w14:paraId="4D5BF267">
      <w:pPr>
        <w:pStyle w:val="62"/>
        <w:rPr>
          <w:rFonts w:ascii="等线" w:hAnsi="等线" w:eastAsia="等线" w:cs="等线"/>
        </w:rPr>
      </w:pPr>
      <w:r>
        <w:rPr>
          <w:rFonts w:hint="eastAsia" w:ascii="等线" w:hAnsi="等线" w:eastAsia="等线" w:cs="等线"/>
        </w:rPr>
        <w:t>AIR 由四项构成：</w:t>
      </w:r>
    </w:p>
    <w:p w14:paraId="5B6F2ED6">
      <w:pPr>
        <w:pStyle w:val="63"/>
        <w:numPr>
          <w:ilvl w:val="0"/>
          <w:numId w:val="16"/>
        </w:numPr>
        <w:rPr>
          <w:rFonts w:ascii="等线" w:hAnsi="等线" w:eastAsia="等线" w:cs="等线"/>
          <w:lang w:eastAsia="zh-CN"/>
        </w:rPr>
      </w:pPr>
      <w:r>
        <w:rPr>
          <w:rFonts w:hint="eastAsia" w:ascii="等线" w:hAnsi="等线" w:eastAsia="等线" w:cs="等线"/>
          <w:b/>
          <w:bCs/>
          <w:lang w:eastAsia="zh-CN"/>
        </w:rPr>
        <w:t>R1 严重错误控制度</w:t>
      </w:r>
      <w:r>
        <w:rPr>
          <w:rFonts w:hint="eastAsia" w:ascii="等线" w:hAnsi="等线" w:eastAsia="等线" w:cs="等线"/>
          <w:lang w:eastAsia="zh-CN"/>
        </w:rPr>
        <w:t>：基于严重错误率映射得分。</w:t>
      </w:r>
    </w:p>
    <w:p w14:paraId="5364A447">
      <w:pPr>
        <w:pStyle w:val="63"/>
        <w:numPr>
          <w:ilvl w:val="0"/>
          <w:numId w:val="16"/>
        </w:numPr>
        <w:rPr>
          <w:rFonts w:ascii="等线" w:hAnsi="等线" w:eastAsia="等线" w:cs="等线"/>
          <w:lang w:eastAsia="zh-CN"/>
        </w:rPr>
      </w:pPr>
      <w:r>
        <w:rPr>
          <w:rFonts w:hint="eastAsia" w:ascii="等线" w:hAnsi="等线" w:eastAsia="等线" w:cs="等线"/>
          <w:b/>
          <w:bCs/>
          <w:lang w:eastAsia="zh-CN"/>
        </w:rPr>
        <w:t>R2 负面偏差控制度</w:t>
      </w:r>
      <w:r>
        <w:rPr>
          <w:rFonts w:hint="eastAsia" w:ascii="等线" w:hAnsi="等线" w:eastAsia="等线" w:cs="等线"/>
          <w:lang w:eastAsia="zh-CN"/>
        </w:rPr>
        <w:t>：基于负面偏差程度映射得分。</w:t>
      </w:r>
    </w:p>
    <w:p w14:paraId="56FF1E25">
      <w:pPr>
        <w:pStyle w:val="63"/>
        <w:numPr>
          <w:ilvl w:val="0"/>
          <w:numId w:val="16"/>
        </w:numPr>
        <w:rPr>
          <w:rFonts w:ascii="等线" w:hAnsi="等线" w:eastAsia="等线" w:cs="等线"/>
          <w:lang w:eastAsia="zh-CN"/>
        </w:rPr>
      </w:pPr>
      <w:r>
        <w:rPr>
          <w:rFonts w:hint="eastAsia" w:ascii="等线" w:hAnsi="等线" w:eastAsia="等线" w:cs="等线"/>
          <w:b/>
          <w:bCs/>
          <w:lang w:eastAsia="zh-CN"/>
        </w:rPr>
        <w:t>R3 稳定性得分</w:t>
      </w:r>
      <w:r>
        <w:rPr>
          <w:rFonts w:hint="eastAsia" w:ascii="等线" w:hAnsi="等线" w:eastAsia="等线" w:cs="等线"/>
          <w:lang w:eastAsia="zh-CN"/>
        </w:rPr>
        <w:t>：基于多次测量的波动程度映射得分。</w:t>
      </w:r>
    </w:p>
    <w:p w14:paraId="14344FEE">
      <w:pPr>
        <w:pStyle w:val="63"/>
        <w:numPr>
          <w:ilvl w:val="0"/>
          <w:numId w:val="16"/>
        </w:numPr>
        <w:rPr>
          <w:rFonts w:ascii="等线" w:hAnsi="等线" w:eastAsia="等线" w:cs="等线"/>
          <w:lang w:eastAsia="zh-CN"/>
        </w:rPr>
      </w:pPr>
      <w:r>
        <w:rPr>
          <w:rFonts w:hint="eastAsia" w:ascii="等线" w:hAnsi="等线" w:eastAsia="等线" w:cs="等线"/>
          <w:b/>
          <w:bCs/>
          <w:lang w:eastAsia="zh-CN"/>
        </w:rPr>
        <w:t>R4 公平性与操纵疑似度</w:t>
      </w:r>
      <w:r>
        <w:rPr>
          <w:rFonts w:hint="eastAsia" w:ascii="等线" w:hAnsi="等线" w:eastAsia="等线" w:cs="等线"/>
          <w:lang w:eastAsia="zh-CN"/>
        </w:rPr>
        <w:t>：基于公开题/暗题差异、模型异常差异等识别操纵疑似度与不公平表现。</w:t>
      </w:r>
    </w:p>
    <w:bookmarkEnd w:id="234"/>
    <w:p w14:paraId="35EB12D0">
      <w:pPr>
        <w:pStyle w:val="4"/>
        <w:rPr>
          <w:rFonts w:ascii="等线" w:hAnsi="等线" w:eastAsia="等线" w:cs="等线"/>
          <w:color w:val="auto"/>
        </w:rPr>
      </w:pPr>
      <w:bookmarkStart w:id="235" w:name="_Toc224311465"/>
      <w:bookmarkStart w:id="236" w:name="_Toc10781"/>
      <w:bookmarkStart w:id="237" w:name="_Toc11397"/>
      <w:bookmarkStart w:id="238" w:name="计算方法-1"/>
      <w:r>
        <w:rPr>
          <w:rFonts w:hint="eastAsia" w:ascii="等线" w:hAnsi="等线" w:eastAsia="等线" w:cs="等线"/>
          <w:color w:val="auto"/>
        </w:rPr>
        <w:t>6.3 计算方法</w:t>
      </w:r>
      <w:bookmarkEnd w:id="235"/>
      <w:bookmarkEnd w:id="236"/>
      <w:bookmarkEnd w:id="237"/>
    </w:p>
    <w:p w14:paraId="163D75A1">
      <w:pPr>
        <w:pStyle w:val="62"/>
        <w:rPr>
          <w:rFonts w:ascii="等线" w:hAnsi="等线" w:eastAsia="等线" w:cs="等线"/>
        </w:rPr>
      </w:pPr>
      <w:r>
        <w:rPr>
          <w:rFonts w:hint="eastAsia" w:ascii="等线" w:hAnsi="等线" w:eastAsia="等线" w:cs="等线"/>
        </w:rPr>
        <w:t>AIR = u1 × R1 + u2 × R2 + u3 × R3 + u4 × R4</w:t>
      </w:r>
    </w:p>
    <w:p w14:paraId="4ED66094">
      <w:pPr>
        <w:pStyle w:val="10"/>
        <w:rPr>
          <w:rFonts w:ascii="等线" w:hAnsi="等线" w:eastAsia="等线" w:cs="等线"/>
        </w:rPr>
      </w:pPr>
      <w:r>
        <w:rPr>
          <w:rFonts w:hint="eastAsia" w:ascii="等线" w:hAnsi="等线" w:eastAsia="等线" w:cs="等线"/>
        </w:rPr>
        <w:t>推荐初始权重为： - u1 = 0.30 - u2 = 0.30 - u3 = 0.20 - u4 = 0.20</w:t>
      </w:r>
    </w:p>
    <w:bookmarkEnd w:id="238"/>
    <w:p w14:paraId="1143E55C">
      <w:pPr>
        <w:pStyle w:val="4"/>
        <w:rPr>
          <w:rFonts w:ascii="等线" w:hAnsi="等线" w:eastAsia="等线" w:cs="等线"/>
          <w:color w:val="auto"/>
        </w:rPr>
      </w:pPr>
      <w:bookmarkStart w:id="239" w:name="_Toc9663"/>
      <w:bookmarkStart w:id="240" w:name="_Toc224311466"/>
      <w:bookmarkStart w:id="241" w:name="_Toc9150"/>
      <w:bookmarkStart w:id="242" w:name="严重错误分类披露要求"/>
      <w:r>
        <w:rPr>
          <w:rFonts w:hint="eastAsia" w:ascii="等线" w:hAnsi="等线" w:eastAsia="等线" w:cs="等线"/>
          <w:color w:val="auto"/>
        </w:rPr>
        <w:t>6.4 严重错误分类披露要求</w:t>
      </w:r>
      <w:bookmarkEnd w:id="239"/>
      <w:bookmarkEnd w:id="240"/>
      <w:bookmarkEnd w:id="241"/>
    </w:p>
    <w:p w14:paraId="74C2BADB">
      <w:pPr>
        <w:pStyle w:val="62"/>
        <w:rPr>
          <w:rFonts w:ascii="等线" w:hAnsi="等线" w:eastAsia="等线" w:cs="等线"/>
          <w:lang w:eastAsia="zh-CN"/>
        </w:rPr>
      </w:pPr>
      <w:r>
        <w:rPr>
          <w:rFonts w:hint="eastAsia" w:ascii="等线" w:hAnsi="等线" w:eastAsia="等线" w:cs="等线"/>
          <w:lang w:eastAsia="zh-CN"/>
        </w:rPr>
        <w:t>为提升 AIR 的可解释性与治理价值，建议对 R1 至少按以下类型进行分组披露：</w:t>
      </w:r>
    </w:p>
    <w:p w14:paraId="6D876BDA">
      <w:pPr>
        <w:pStyle w:val="63"/>
        <w:numPr>
          <w:ilvl w:val="0"/>
          <w:numId w:val="17"/>
        </w:numPr>
        <w:rPr>
          <w:rFonts w:ascii="等线" w:hAnsi="等线" w:eastAsia="等线" w:cs="等线"/>
          <w:lang w:eastAsia="zh-CN"/>
        </w:rPr>
      </w:pPr>
      <w:r>
        <w:rPr>
          <w:rFonts w:hint="eastAsia" w:ascii="等线" w:hAnsi="等线" w:eastAsia="等线" w:cs="等线"/>
          <w:lang w:eastAsia="zh-CN"/>
        </w:rPr>
        <w:t>事实错误（主体、品类、参数等）；</w:t>
      </w:r>
    </w:p>
    <w:p w14:paraId="7F41739E">
      <w:pPr>
        <w:pStyle w:val="63"/>
        <w:numPr>
          <w:ilvl w:val="0"/>
          <w:numId w:val="17"/>
        </w:numPr>
        <w:rPr>
          <w:rFonts w:ascii="等线" w:hAnsi="等线" w:eastAsia="等线" w:cs="等线"/>
          <w:lang w:eastAsia="zh-CN"/>
        </w:rPr>
      </w:pPr>
      <w:r>
        <w:rPr>
          <w:rFonts w:hint="eastAsia" w:ascii="等线" w:hAnsi="等线" w:eastAsia="等线" w:cs="等线"/>
          <w:lang w:eastAsia="zh-CN"/>
        </w:rPr>
        <w:t>过期信息（政策、价格、门店、版本等）；</w:t>
      </w:r>
    </w:p>
    <w:p w14:paraId="0CFD641F">
      <w:pPr>
        <w:pStyle w:val="63"/>
        <w:numPr>
          <w:ilvl w:val="0"/>
          <w:numId w:val="17"/>
        </w:numPr>
        <w:rPr>
          <w:rFonts w:ascii="等线" w:hAnsi="等线" w:eastAsia="等线" w:cs="等线"/>
        </w:rPr>
      </w:pPr>
      <w:r>
        <w:rPr>
          <w:rFonts w:hint="eastAsia" w:ascii="等线" w:hAnsi="等线" w:eastAsia="等线" w:cs="等线"/>
        </w:rPr>
        <w:t>合规红线或不当承诺；</w:t>
      </w:r>
    </w:p>
    <w:p w14:paraId="6FF6A624">
      <w:pPr>
        <w:pStyle w:val="63"/>
        <w:numPr>
          <w:ilvl w:val="0"/>
          <w:numId w:val="17"/>
        </w:numPr>
        <w:rPr>
          <w:rFonts w:ascii="等线" w:hAnsi="等线" w:eastAsia="等线" w:cs="等线"/>
          <w:lang w:eastAsia="zh-CN"/>
        </w:rPr>
      </w:pPr>
      <w:r>
        <w:rPr>
          <w:rFonts w:hint="eastAsia" w:ascii="等线" w:hAnsi="等线" w:eastAsia="等线" w:cs="等线"/>
          <w:lang w:eastAsia="zh-CN"/>
        </w:rPr>
        <w:t>幻觉断言（无依据的强结论）。</w:t>
      </w:r>
    </w:p>
    <w:p w14:paraId="6450ABB6">
      <w:pPr>
        <w:pStyle w:val="62"/>
        <w:rPr>
          <w:rFonts w:ascii="等线" w:hAnsi="等线" w:eastAsia="等线" w:cs="等线"/>
          <w:lang w:eastAsia="zh-CN"/>
        </w:rPr>
      </w:pPr>
      <w:r>
        <w:rPr>
          <w:rFonts w:hint="eastAsia" w:ascii="等线" w:hAnsi="等线" w:eastAsia="等线" w:cs="等线"/>
          <w:lang w:eastAsia="zh-CN"/>
        </w:rPr>
        <w:t>分类披露不改变 R1 的计算公式，但能够显著提升问题定位与治理效率。</w:t>
      </w:r>
    </w:p>
    <w:p w14:paraId="05D84FE5">
      <w:pPr>
        <w:rPr>
          <w:rFonts w:ascii="等线" w:hAnsi="等线" w:eastAsia="等线" w:cs="等线"/>
        </w:rPr>
      </w:pPr>
    </w:p>
    <w:bookmarkEnd w:id="226"/>
    <w:bookmarkEnd w:id="242"/>
    <w:p w14:paraId="567DB172">
      <w:pPr>
        <w:pStyle w:val="3"/>
        <w:rPr>
          <w:rFonts w:ascii="等线" w:hAnsi="等线" w:eastAsia="等线" w:cs="等线"/>
          <w:color w:val="auto"/>
        </w:rPr>
      </w:pPr>
      <w:bookmarkStart w:id="243" w:name="_Toc1094"/>
      <w:bookmarkStart w:id="244" w:name="_Toc224311467"/>
      <w:bookmarkStart w:id="245" w:name="_Toc3798"/>
      <w:bookmarkStart w:id="246" w:name="第七章-uaf-与-mci"/>
      <w:r>
        <w:rPr>
          <w:rFonts w:hint="eastAsia" w:ascii="等线" w:hAnsi="等线" w:eastAsia="等线" w:cs="等线"/>
          <w:color w:val="auto"/>
        </w:rPr>
        <w:t>第七章 UAF 与 MCI</w:t>
      </w:r>
      <w:bookmarkEnd w:id="243"/>
      <w:bookmarkEnd w:id="244"/>
      <w:bookmarkEnd w:id="245"/>
    </w:p>
    <w:p w14:paraId="2F0D5787">
      <w:pPr>
        <w:pStyle w:val="4"/>
        <w:rPr>
          <w:rFonts w:ascii="等线" w:hAnsi="等线" w:eastAsia="等线" w:cs="等线"/>
          <w:color w:val="auto"/>
        </w:rPr>
      </w:pPr>
      <w:bookmarkStart w:id="247" w:name="_Toc21401"/>
      <w:bookmarkStart w:id="248" w:name="_Toc224311468"/>
      <w:bookmarkStart w:id="249" w:name="_Toc10682"/>
      <w:bookmarkStart w:id="250" w:name="uaf用户ai-对齐系数"/>
      <w:r>
        <w:rPr>
          <w:rFonts w:hint="eastAsia" w:ascii="等线" w:hAnsi="等线" w:eastAsia="等线" w:cs="等线"/>
          <w:color w:val="auto"/>
        </w:rPr>
        <w:t>7.1 UAF：用户–AI 对齐系数</w:t>
      </w:r>
      <w:bookmarkEnd w:id="247"/>
      <w:bookmarkEnd w:id="248"/>
      <w:bookmarkEnd w:id="249"/>
    </w:p>
    <w:p w14:paraId="2DE3AC36">
      <w:pPr>
        <w:pStyle w:val="62"/>
        <w:rPr>
          <w:rFonts w:ascii="等线" w:hAnsi="等线" w:eastAsia="等线" w:cs="等线"/>
          <w:lang w:eastAsia="zh-CN"/>
        </w:rPr>
      </w:pPr>
      <w:r>
        <w:rPr>
          <w:rFonts w:hint="eastAsia" w:ascii="等线" w:hAnsi="等线" w:eastAsia="等线" w:cs="等线"/>
          <w:lang w:eastAsia="zh-CN"/>
        </w:rPr>
        <w:t>UAF 用于衡量用户在品牌决策过程中对 AI 的使用频率、信任程度以及 AI 对品牌选择的实际影响。</w:t>
      </w:r>
    </w:p>
    <w:p w14:paraId="1252691D">
      <w:pPr>
        <w:pStyle w:val="10"/>
        <w:rPr>
          <w:rFonts w:ascii="等线" w:hAnsi="等线" w:eastAsia="等线" w:cs="等线"/>
        </w:rPr>
      </w:pPr>
      <w:r>
        <w:rPr>
          <w:rFonts w:hint="eastAsia" w:ascii="等线" w:hAnsi="等线" w:eastAsia="等线" w:cs="等线"/>
        </w:rPr>
        <w:t>建议计算方式：</w:t>
      </w:r>
    </w:p>
    <w:p w14:paraId="7E973AAC">
      <w:pPr>
        <w:pStyle w:val="10"/>
        <w:rPr>
          <w:rFonts w:ascii="等线" w:hAnsi="等线" w:eastAsia="等线" w:cs="等线"/>
        </w:rPr>
      </w:pPr>
      <w:r>
        <w:rPr>
          <w:rFonts w:hint="eastAsia" w:ascii="等线" w:hAnsi="等线" w:eastAsia="等线" w:cs="等线"/>
        </w:rPr>
        <w:t>UAF_raw = 0.4 × Usage_norm + 0.3 × Trust_norm + 0.3 × BrandUsage_norm</w:t>
      </w:r>
    </w:p>
    <w:p w14:paraId="0AB2E115">
      <w:pPr>
        <w:pStyle w:val="10"/>
        <w:rPr>
          <w:rFonts w:ascii="等线" w:hAnsi="等线" w:eastAsia="等线" w:cs="等线"/>
        </w:rPr>
      </w:pPr>
      <w:r>
        <w:rPr>
          <w:rFonts w:hint="eastAsia" w:ascii="等线" w:hAnsi="等线" w:eastAsia="等线" w:cs="等线"/>
        </w:rPr>
        <w:t>UAF = 0.7 + 0.3 × UAF_raw</w:t>
      </w:r>
    </w:p>
    <w:p w14:paraId="0B719B34">
      <w:pPr>
        <w:pStyle w:val="10"/>
        <w:rPr>
          <w:rFonts w:ascii="等线" w:hAnsi="等线" w:eastAsia="等线" w:cs="等线"/>
        </w:rPr>
      </w:pPr>
      <w:r>
        <w:rPr>
          <w:rFonts w:hint="eastAsia" w:ascii="等线" w:hAnsi="等线" w:eastAsia="等线" w:cs="等线"/>
        </w:rPr>
        <w:t>UAF 取值映射至 [0.7, 1] 区间，用于对不同场景下 AI 影响强度进行校准。</w:t>
      </w:r>
    </w:p>
    <w:bookmarkEnd w:id="250"/>
    <w:p w14:paraId="205BD2B0">
      <w:pPr>
        <w:pStyle w:val="4"/>
        <w:rPr>
          <w:rFonts w:ascii="等线" w:hAnsi="等线" w:eastAsia="等线" w:cs="等线"/>
          <w:color w:val="auto"/>
        </w:rPr>
      </w:pPr>
      <w:bookmarkStart w:id="251" w:name="_Toc18271"/>
      <w:bookmarkStart w:id="252" w:name="_Toc224311469"/>
      <w:bookmarkStart w:id="253" w:name="_Toc6454"/>
      <w:bookmarkStart w:id="254" w:name="mci方法置信度指数"/>
      <w:r>
        <w:rPr>
          <w:rFonts w:hint="eastAsia" w:ascii="等线" w:hAnsi="等线" w:eastAsia="等线" w:cs="等线"/>
          <w:color w:val="auto"/>
        </w:rPr>
        <w:t>7.2 MCI：方法置信度指数</w:t>
      </w:r>
      <w:bookmarkEnd w:id="251"/>
      <w:bookmarkEnd w:id="252"/>
      <w:bookmarkEnd w:id="253"/>
    </w:p>
    <w:p w14:paraId="7DAE77A2">
      <w:pPr>
        <w:pStyle w:val="62"/>
        <w:rPr>
          <w:rFonts w:ascii="等线" w:hAnsi="等线" w:eastAsia="等线" w:cs="等线"/>
          <w:lang w:eastAsia="zh-CN"/>
        </w:rPr>
      </w:pPr>
      <w:r>
        <w:rPr>
          <w:rFonts w:hint="eastAsia" w:ascii="等线" w:hAnsi="等线" w:eastAsia="等线" w:cs="等线"/>
          <w:lang w:eastAsia="zh-CN"/>
        </w:rPr>
        <w:t>MCI 用于反映本次评测方法的可信度与可解释程度。</w:t>
      </w:r>
    </w:p>
    <w:p w14:paraId="29308FEB">
      <w:pPr>
        <w:pStyle w:val="10"/>
        <w:rPr>
          <w:rFonts w:ascii="等线" w:hAnsi="等线" w:eastAsia="等线" w:cs="等线"/>
          <w:lang w:eastAsia="zh-CN"/>
        </w:rPr>
      </w:pPr>
      <w:r>
        <w:rPr>
          <w:rFonts w:hint="eastAsia" w:ascii="等线" w:hAnsi="等线" w:eastAsia="等线" w:cs="等线"/>
          <w:lang w:eastAsia="zh-CN"/>
        </w:rPr>
        <w:t>建议计算方式：</w:t>
      </w:r>
    </w:p>
    <w:p w14:paraId="470DECD5">
      <w:pPr>
        <w:pStyle w:val="10"/>
        <w:rPr>
          <w:rFonts w:ascii="等线" w:hAnsi="等线" w:eastAsia="等线" w:cs="等线"/>
          <w:lang w:eastAsia="zh-CN"/>
        </w:rPr>
      </w:pPr>
      <w:r>
        <w:rPr>
          <w:rFonts w:hint="eastAsia" w:ascii="等线" w:hAnsi="等线" w:eastAsia="等线" w:cs="等线"/>
          <w:lang w:eastAsia="zh-CN"/>
        </w:rPr>
        <w:t>MCI_raw = 0.25 × S + 0.25 × Q + 0.25 × T + 0.25 × M</w:t>
      </w:r>
    </w:p>
    <w:p w14:paraId="7C4385A3">
      <w:pPr>
        <w:pStyle w:val="10"/>
        <w:rPr>
          <w:rFonts w:ascii="等线" w:hAnsi="等线" w:eastAsia="等线" w:cs="等线"/>
          <w:lang w:eastAsia="zh-CN"/>
        </w:rPr>
      </w:pPr>
      <w:r>
        <w:rPr>
          <w:rFonts w:hint="eastAsia" w:ascii="等线" w:hAnsi="等线" w:eastAsia="等线" w:cs="等线"/>
          <w:lang w:eastAsia="zh-CN"/>
        </w:rPr>
        <w:t>其中： - S：样本充分性 - Q：数据质量 - T：测试稳定性 - M：多模型覆盖度</w:t>
      </w:r>
    </w:p>
    <w:p w14:paraId="456AAB63">
      <w:pPr>
        <w:pStyle w:val="10"/>
        <w:rPr>
          <w:rFonts w:ascii="等线" w:hAnsi="等线" w:eastAsia="等线" w:cs="等线"/>
          <w:lang w:eastAsia="zh-CN"/>
        </w:rPr>
      </w:pPr>
      <w:r>
        <w:rPr>
          <w:rFonts w:hint="eastAsia" w:ascii="等线" w:hAnsi="等线" w:eastAsia="等线" w:cs="等线"/>
          <w:lang w:eastAsia="zh-CN"/>
        </w:rPr>
        <w:t>MCI = 0.8 + 0.2 × (MCI_raw / 100)</w:t>
      </w:r>
    </w:p>
    <w:p w14:paraId="283DC178">
      <w:pPr>
        <w:pStyle w:val="10"/>
        <w:rPr>
          <w:rFonts w:ascii="等线" w:hAnsi="等线" w:eastAsia="等线" w:cs="等线"/>
          <w:lang w:eastAsia="zh-CN"/>
        </w:rPr>
      </w:pPr>
      <w:r>
        <w:rPr>
          <w:rFonts w:hint="eastAsia" w:ascii="等线" w:hAnsi="等线" w:eastAsia="等线" w:cs="等线"/>
          <w:lang w:eastAsia="zh-CN"/>
        </w:rPr>
        <w:t>MCI 取值映射至 [0.8, 1] 区间。对外发布结果时，应同步附带 MCI 提示，以说明结论置信程度。</w:t>
      </w:r>
    </w:p>
    <w:p w14:paraId="6433DD87">
      <w:pPr>
        <w:rPr>
          <w:rFonts w:ascii="等线" w:hAnsi="等线" w:eastAsia="等线" w:cs="等线"/>
        </w:rPr>
      </w:pPr>
    </w:p>
    <w:bookmarkEnd w:id="246"/>
    <w:bookmarkEnd w:id="254"/>
    <w:p w14:paraId="34C66214">
      <w:pPr>
        <w:pStyle w:val="3"/>
        <w:rPr>
          <w:rFonts w:ascii="等线" w:hAnsi="等线" w:eastAsia="等线" w:cs="等线"/>
          <w:color w:val="auto"/>
        </w:rPr>
      </w:pPr>
      <w:bookmarkStart w:id="255" w:name="_Toc224311470"/>
      <w:bookmarkStart w:id="256" w:name="_Toc8064"/>
      <w:bookmarkStart w:id="257" w:name="_Toc19516"/>
      <w:bookmarkStart w:id="258" w:name="第八章-综合指数可选"/>
      <w:r>
        <w:rPr>
          <w:rFonts w:hint="eastAsia" w:ascii="等线" w:hAnsi="等线" w:eastAsia="等线" w:cs="等线"/>
          <w:color w:val="auto"/>
        </w:rPr>
        <w:t>第八章 综合指数</w:t>
      </w:r>
      <w:bookmarkEnd w:id="255"/>
      <w:bookmarkEnd w:id="256"/>
      <w:bookmarkEnd w:id="257"/>
    </w:p>
    <w:p w14:paraId="39AD7188">
      <w:pPr>
        <w:pStyle w:val="62"/>
        <w:rPr>
          <w:rFonts w:ascii="等线" w:hAnsi="等线" w:eastAsia="等线" w:cs="等线"/>
          <w:lang w:eastAsia="zh-CN"/>
        </w:rPr>
      </w:pPr>
      <w:r>
        <w:rPr>
          <w:rFonts w:hint="eastAsia" w:ascii="等线" w:hAnsi="等线" w:eastAsia="等线" w:cs="等线"/>
          <w:lang w:eastAsia="zh-CN"/>
        </w:rPr>
        <w:t>在需要形成单一综合指标用于内部管理、项目追踪或对外传播时，可在同时展示 AIP、AIC、AIR、UAF、MCI 的前提下，计算 AIBV 综合指数。</w:t>
      </w:r>
    </w:p>
    <w:p w14:paraId="4DE94732">
      <w:pPr>
        <w:pStyle w:val="10"/>
        <w:rPr>
          <w:rFonts w:ascii="等线" w:hAnsi="等线" w:eastAsia="等线" w:cs="等线"/>
        </w:rPr>
      </w:pPr>
      <w:r>
        <w:rPr>
          <w:rFonts w:hint="eastAsia" w:ascii="等线" w:hAnsi="等线" w:eastAsia="等线" w:cs="等线"/>
        </w:rPr>
        <w:t>公式如下：</w:t>
      </w:r>
    </w:p>
    <w:p w14:paraId="095D2C5F">
      <w:pPr>
        <w:pStyle w:val="10"/>
        <w:rPr>
          <w:rFonts w:ascii="等线" w:hAnsi="等线" w:eastAsia="等线" w:cs="等线"/>
        </w:rPr>
      </w:pPr>
      <w:r>
        <w:rPr>
          <w:rFonts w:hint="eastAsia" w:ascii="等线" w:hAnsi="等线" w:eastAsia="等线" w:cs="等线"/>
        </w:rPr>
        <w:t>AIBV = MCI × [ λ × AIP + (1 - λ) × ( α × AIC + β × AIR ) ] × UAF</w:t>
      </w:r>
    </w:p>
    <w:p w14:paraId="567BFEDE">
      <w:pPr>
        <w:pStyle w:val="10"/>
        <w:rPr>
          <w:rFonts w:ascii="等线" w:hAnsi="等线" w:eastAsia="等线" w:cs="等线"/>
          <w:lang w:eastAsia="zh-CN"/>
        </w:rPr>
      </w:pPr>
      <w:r>
        <w:rPr>
          <w:rFonts w:hint="eastAsia" w:ascii="等线" w:hAnsi="等线" w:eastAsia="等线" w:cs="等线"/>
          <w:lang w:eastAsia="zh-CN"/>
        </w:rPr>
        <w:t xml:space="preserve">其中： - </w:t>
      </w:r>
      <w:r>
        <w:rPr>
          <w:rFonts w:hint="eastAsia" w:ascii="等线" w:hAnsi="等线" w:eastAsia="等线" w:cs="等线"/>
        </w:rPr>
        <w:t>λ</w:t>
      </w:r>
      <w:r>
        <w:rPr>
          <w:rFonts w:hint="eastAsia" w:ascii="等线" w:hAnsi="等线" w:eastAsia="等线" w:cs="等线"/>
          <w:lang w:eastAsia="zh-CN"/>
        </w:rPr>
        <w:t xml:space="preserve"> 建议取值范围为 0.5–0.7； - </w:t>
      </w:r>
      <w:r>
        <w:rPr>
          <w:rFonts w:hint="eastAsia" w:ascii="等线" w:hAnsi="等线" w:eastAsia="等线" w:cs="等线"/>
        </w:rPr>
        <w:t>α</w:t>
      </w:r>
      <w:r>
        <w:rPr>
          <w:rFonts w:hint="eastAsia" w:ascii="等线" w:hAnsi="等线" w:eastAsia="等线" w:cs="等线"/>
          <w:lang w:eastAsia="zh-CN"/>
        </w:rPr>
        <w:t xml:space="preserve"> 与 </w:t>
      </w:r>
      <w:r>
        <w:rPr>
          <w:rFonts w:hint="eastAsia" w:ascii="等线" w:hAnsi="等线" w:eastAsia="等线" w:cs="等线"/>
        </w:rPr>
        <w:t>β</w:t>
      </w:r>
      <w:r>
        <w:rPr>
          <w:rFonts w:hint="eastAsia" w:ascii="等线" w:hAnsi="等线" w:eastAsia="等线" w:cs="等线"/>
          <w:lang w:eastAsia="zh-CN"/>
        </w:rPr>
        <w:t xml:space="preserve"> 之和为 1，可根据研究目的设定； - 推荐初始值：</w:t>
      </w:r>
      <w:r>
        <w:rPr>
          <w:rFonts w:hint="eastAsia" w:ascii="等线" w:hAnsi="等线" w:eastAsia="等线" w:cs="等线"/>
        </w:rPr>
        <w:t>λ</w:t>
      </w:r>
      <w:r>
        <w:rPr>
          <w:rFonts w:hint="eastAsia" w:ascii="等线" w:hAnsi="等线" w:eastAsia="等线" w:cs="等线"/>
          <w:lang w:eastAsia="zh-CN"/>
        </w:rPr>
        <w:t xml:space="preserve"> = 0.6，</w:t>
      </w:r>
      <w:r>
        <w:rPr>
          <w:rFonts w:hint="eastAsia" w:ascii="等线" w:hAnsi="等线" w:eastAsia="等线" w:cs="等线"/>
        </w:rPr>
        <w:t>α</w:t>
      </w:r>
      <w:r>
        <w:rPr>
          <w:rFonts w:hint="eastAsia" w:ascii="等线" w:hAnsi="等线" w:eastAsia="等线" w:cs="等线"/>
          <w:lang w:eastAsia="zh-CN"/>
        </w:rPr>
        <w:t xml:space="preserve"> = 0.6，</w:t>
      </w:r>
      <w:r>
        <w:rPr>
          <w:rFonts w:hint="eastAsia" w:ascii="等线" w:hAnsi="等线" w:eastAsia="等线" w:cs="等线"/>
        </w:rPr>
        <w:t>β</w:t>
      </w:r>
      <w:r>
        <w:rPr>
          <w:rFonts w:hint="eastAsia" w:ascii="等线" w:hAnsi="等线" w:eastAsia="等线" w:cs="等线"/>
          <w:lang w:eastAsia="zh-CN"/>
        </w:rPr>
        <w:t xml:space="preserve"> = 0.4。</w:t>
      </w:r>
    </w:p>
    <w:p w14:paraId="6DED79FD">
      <w:pPr>
        <w:pStyle w:val="10"/>
        <w:rPr>
          <w:rFonts w:ascii="等线" w:hAnsi="等线" w:eastAsia="等线" w:cs="等线"/>
          <w:lang w:eastAsia="zh-CN"/>
        </w:rPr>
      </w:pPr>
      <w:r>
        <w:rPr>
          <w:rFonts w:hint="eastAsia" w:ascii="等线" w:hAnsi="等线" w:eastAsia="等线" w:cs="等线"/>
          <w:lang w:eastAsia="zh-CN"/>
        </w:rPr>
        <w:t>综合指数适用于内部管理、趋势追踪与传播补充，不建议替代五项关键值的独立展示。</w:t>
      </w:r>
    </w:p>
    <w:p w14:paraId="4A6DDBF7">
      <w:pPr>
        <w:rPr>
          <w:rFonts w:ascii="等线" w:hAnsi="等线" w:eastAsia="等线" w:cs="等线"/>
        </w:rPr>
      </w:pPr>
    </w:p>
    <w:bookmarkEnd w:id="258"/>
    <w:p w14:paraId="739C72B6">
      <w:pPr>
        <w:pStyle w:val="3"/>
        <w:rPr>
          <w:rFonts w:ascii="等线" w:hAnsi="等线" w:eastAsia="等线" w:cs="等线"/>
          <w:color w:val="auto"/>
        </w:rPr>
      </w:pPr>
      <w:bookmarkStart w:id="259" w:name="_Toc224311471"/>
      <w:bookmarkStart w:id="260" w:name="_Toc12974"/>
      <w:bookmarkStart w:id="261" w:name="_Toc10479"/>
      <w:bookmarkStart w:id="262" w:name="第九章-数据采集与测量规范"/>
      <w:r>
        <w:rPr>
          <w:rFonts w:hint="eastAsia" w:ascii="等线" w:hAnsi="等线" w:eastAsia="等线" w:cs="等线"/>
          <w:color w:val="auto"/>
        </w:rPr>
        <w:t>第九章 数据采集与测量规范</w:t>
      </w:r>
      <w:bookmarkEnd w:id="259"/>
      <w:bookmarkEnd w:id="260"/>
      <w:bookmarkEnd w:id="261"/>
    </w:p>
    <w:p w14:paraId="53E9A41B">
      <w:pPr>
        <w:pStyle w:val="4"/>
        <w:rPr>
          <w:rFonts w:ascii="等线" w:hAnsi="等线" w:eastAsia="等线" w:cs="等线"/>
          <w:color w:val="auto"/>
        </w:rPr>
      </w:pPr>
      <w:bookmarkStart w:id="263" w:name="_Toc224311472"/>
      <w:bookmarkStart w:id="264" w:name="_Toc17567"/>
      <w:bookmarkStart w:id="265" w:name="_Toc756"/>
      <w:bookmarkStart w:id="266" w:name="多模型多入口原则"/>
      <w:r>
        <w:rPr>
          <w:rFonts w:hint="eastAsia" w:ascii="等线" w:hAnsi="等线" w:eastAsia="等线" w:cs="等线"/>
          <w:color w:val="auto"/>
        </w:rPr>
        <w:t>9.1 多模型多入口原则</w:t>
      </w:r>
      <w:bookmarkEnd w:id="263"/>
      <w:bookmarkEnd w:id="264"/>
      <w:bookmarkEnd w:id="265"/>
    </w:p>
    <w:p w14:paraId="4549808B">
      <w:pPr>
        <w:pStyle w:val="62"/>
        <w:rPr>
          <w:rFonts w:ascii="等线" w:hAnsi="等线" w:eastAsia="等线" w:cs="等线"/>
          <w:lang w:eastAsia="zh-CN"/>
        </w:rPr>
      </w:pPr>
      <w:r>
        <w:rPr>
          <w:rFonts w:hint="eastAsia" w:ascii="等线" w:hAnsi="等线" w:eastAsia="等线" w:cs="等线"/>
          <w:lang w:eastAsia="zh-CN"/>
        </w:rPr>
        <w:t>同一问题集应在多模型、多入口下进行测量，形成具有可复现性的评测数据集。应记录模型名称、版本号、调用方式、关键参数及测试时间窗口。</w:t>
      </w:r>
    </w:p>
    <w:bookmarkEnd w:id="266"/>
    <w:p w14:paraId="2FD51B14">
      <w:pPr>
        <w:pStyle w:val="4"/>
        <w:rPr>
          <w:rFonts w:ascii="等线" w:hAnsi="等线" w:eastAsia="等线" w:cs="等线"/>
          <w:color w:val="auto"/>
        </w:rPr>
      </w:pPr>
      <w:bookmarkStart w:id="267" w:name="_Toc4557"/>
      <w:bookmarkStart w:id="268" w:name="_Toc224311473"/>
      <w:bookmarkStart w:id="269" w:name="_Toc28727"/>
      <w:bookmarkStart w:id="270" w:name="问题宇宙分层原则"/>
      <w:r>
        <w:rPr>
          <w:rFonts w:hint="eastAsia" w:ascii="等线" w:hAnsi="等线" w:eastAsia="等线" w:cs="等线"/>
          <w:color w:val="auto"/>
        </w:rPr>
        <w:t>9.2 问题集分层原则</w:t>
      </w:r>
      <w:bookmarkEnd w:id="267"/>
      <w:bookmarkEnd w:id="268"/>
      <w:bookmarkEnd w:id="269"/>
    </w:p>
    <w:p w14:paraId="1D7CAC27">
      <w:pPr>
        <w:pStyle w:val="62"/>
        <w:rPr>
          <w:rFonts w:ascii="等线" w:hAnsi="等线" w:eastAsia="等线" w:cs="等线"/>
          <w:lang w:eastAsia="zh-CN"/>
        </w:rPr>
      </w:pPr>
      <w:r>
        <w:rPr>
          <w:rFonts w:hint="eastAsia" w:ascii="等线" w:hAnsi="等线" w:eastAsia="等线" w:cs="等线"/>
          <w:lang w:eastAsia="zh-CN"/>
        </w:rPr>
        <w:t>测试题集应至少覆盖以下五类用户意图：</w:t>
      </w:r>
    </w:p>
    <w:p w14:paraId="52E51E7F">
      <w:pPr>
        <w:pStyle w:val="63"/>
        <w:numPr>
          <w:ilvl w:val="0"/>
          <w:numId w:val="18"/>
        </w:numPr>
        <w:rPr>
          <w:rFonts w:ascii="等线" w:hAnsi="等线" w:eastAsia="等线" w:cs="等线"/>
        </w:rPr>
      </w:pPr>
      <w:r>
        <w:rPr>
          <w:rFonts w:hint="eastAsia" w:ascii="等线" w:hAnsi="等线" w:eastAsia="等线" w:cs="等线"/>
        </w:rPr>
        <w:t>认知；</w:t>
      </w:r>
    </w:p>
    <w:p w14:paraId="3ACFCF2B">
      <w:pPr>
        <w:pStyle w:val="63"/>
        <w:numPr>
          <w:ilvl w:val="0"/>
          <w:numId w:val="18"/>
        </w:numPr>
        <w:rPr>
          <w:rFonts w:ascii="等线" w:hAnsi="等线" w:eastAsia="等线" w:cs="等线"/>
        </w:rPr>
      </w:pPr>
      <w:r>
        <w:rPr>
          <w:rFonts w:hint="eastAsia" w:ascii="等线" w:hAnsi="等线" w:eastAsia="等线" w:cs="等线"/>
        </w:rPr>
        <w:t>对比；</w:t>
      </w:r>
    </w:p>
    <w:p w14:paraId="514B8713">
      <w:pPr>
        <w:pStyle w:val="63"/>
        <w:numPr>
          <w:ilvl w:val="0"/>
          <w:numId w:val="18"/>
        </w:numPr>
        <w:rPr>
          <w:rFonts w:ascii="等线" w:hAnsi="等线" w:eastAsia="等线" w:cs="等线"/>
        </w:rPr>
      </w:pPr>
      <w:r>
        <w:rPr>
          <w:rFonts w:hint="eastAsia" w:ascii="等线" w:hAnsi="等线" w:eastAsia="等线" w:cs="等线"/>
        </w:rPr>
        <w:t>决策；</w:t>
      </w:r>
    </w:p>
    <w:p w14:paraId="5989D7AA">
      <w:pPr>
        <w:pStyle w:val="63"/>
        <w:numPr>
          <w:ilvl w:val="0"/>
          <w:numId w:val="18"/>
        </w:numPr>
        <w:rPr>
          <w:rFonts w:ascii="等线" w:hAnsi="等线" w:eastAsia="等线" w:cs="等线"/>
        </w:rPr>
      </w:pPr>
      <w:r>
        <w:rPr>
          <w:rFonts w:hint="eastAsia" w:ascii="等线" w:hAnsi="等线" w:eastAsia="等线" w:cs="等线"/>
        </w:rPr>
        <w:t>行动；</w:t>
      </w:r>
    </w:p>
    <w:p w14:paraId="182386F4">
      <w:pPr>
        <w:pStyle w:val="63"/>
        <w:numPr>
          <w:ilvl w:val="0"/>
          <w:numId w:val="18"/>
        </w:numPr>
        <w:rPr>
          <w:rFonts w:ascii="等线" w:hAnsi="等线" w:eastAsia="等线" w:cs="等线"/>
        </w:rPr>
      </w:pPr>
      <w:r>
        <w:rPr>
          <w:rFonts w:hint="eastAsia" w:ascii="等线" w:hAnsi="等线" w:eastAsia="等线" w:cs="等线"/>
        </w:rPr>
        <w:t>风险。</w:t>
      </w:r>
    </w:p>
    <w:p w14:paraId="25FCEB3A">
      <w:pPr>
        <w:pStyle w:val="62"/>
        <w:rPr>
          <w:rFonts w:ascii="等线" w:hAnsi="等线" w:eastAsia="等线" w:cs="等线"/>
          <w:lang w:eastAsia="zh-CN"/>
        </w:rPr>
      </w:pPr>
      <w:r>
        <w:rPr>
          <w:rFonts w:hint="eastAsia" w:ascii="等线" w:hAnsi="等线" w:eastAsia="等线" w:cs="等线"/>
          <w:lang w:eastAsia="zh-CN"/>
        </w:rPr>
        <w:t>同时应保证强约束问题达到实施细则规定的行业阈值，以提升评测对真实决策场景的覆盖能力。</w:t>
      </w:r>
    </w:p>
    <w:bookmarkEnd w:id="270"/>
    <w:p w14:paraId="72D8C677">
      <w:pPr>
        <w:pStyle w:val="4"/>
        <w:rPr>
          <w:rFonts w:ascii="等线" w:hAnsi="等线" w:eastAsia="等线" w:cs="等线"/>
          <w:color w:val="auto"/>
        </w:rPr>
      </w:pPr>
      <w:bookmarkStart w:id="271" w:name="_Toc224311474"/>
      <w:bookmarkStart w:id="272" w:name="_Toc12529"/>
      <w:bookmarkStart w:id="273" w:name="_Toc4968"/>
      <w:bookmarkStart w:id="274" w:name="题源构成"/>
      <w:r>
        <w:rPr>
          <w:rFonts w:hint="eastAsia" w:ascii="等线" w:hAnsi="等线" w:eastAsia="等线" w:cs="等线"/>
          <w:color w:val="auto"/>
        </w:rPr>
        <w:t>9.3 题源构成</w:t>
      </w:r>
      <w:bookmarkEnd w:id="271"/>
      <w:bookmarkEnd w:id="272"/>
      <w:bookmarkEnd w:id="273"/>
    </w:p>
    <w:p w14:paraId="0142BE7E">
      <w:pPr>
        <w:pStyle w:val="62"/>
        <w:rPr>
          <w:rFonts w:ascii="等线" w:hAnsi="等线" w:eastAsia="等线" w:cs="等线"/>
          <w:lang w:eastAsia="zh-CN"/>
        </w:rPr>
      </w:pPr>
      <w:r>
        <w:rPr>
          <w:rFonts w:hint="eastAsia" w:ascii="等线" w:hAnsi="等线" w:eastAsia="等线" w:cs="等线"/>
          <w:lang w:eastAsia="zh-CN"/>
        </w:rPr>
        <w:t>题目可来自以下渠道：</w:t>
      </w:r>
    </w:p>
    <w:p w14:paraId="7892939A">
      <w:pPr>
        <w:pStyle w:val="63"/>
        <w:numPr>
          <w:ilvl w:val="0"/>
          <w:numId w:val="19"/>
        </w:numPr>
        <w:rPr>
          <w:rFonts w:ascii="等线" w:hAnsi="等线" w:eastAsia="等线" w:cs="等线"/>
        </w:rPr>
      </w:pPr>
      <w:r>
        <w:rPr>
          <w:rFonts w:hint="eastAsia" w:ascii="等线" w:hAnsi="等线" w:eastAsia="等线" w:cs="等线"/>
        </w:rPr>
        <w:t>专家设计的标准问题；</w:t>
      </w:r>
    </w:p>
    <w:p w14:paraId="2A35851E">
      <w:pPr>
        <w:pStyle w:val="63"/>
        <w:numPr>
          <w:ilvl w:val="0"/>
          <w:numId w:val="19"/>
        </w:numPr>
        <w:rPr>
          <w:rFonts w:ascii="等线" w:hAnsi="等线" w:eastAsia="等线" w:cs="等线"/>
          <w:lang w:eastAsia="zh-CN"/>
        </w:rPr>
      </w:pPr>
      <w:r>
        <w:rPr>
          <w:rFonts w:hint="eastAsia" w:ascii="等线" w:hAnsi="等线" w:eastAsia="等线" w:cs="等线"/>
          <w:lang w:eastAsia="zh-CN"/>
        </w:rPr>
        <w:t>真实搜索与问答语料的抽样与规范化问题；</w:t>
      </w:r>
    </w:p>
    <w:p w14:paraId="62408CD0">
      <w:pPr>
        <w:pStyle w:val="63"/>
        <w:numPr>
          <w:ilvl w:val="0"/>
          <w:numId w:val="19"/>
        </w:numPr>
        <w:rPr>
          <w:rFonts w:ascii="等线" w:hAnsi="等线" w:eastAsia="等线" w:cs="等线"/>
          <w:lang w:eastAsia="zh-CN"/>
        </w:rPr>
      </w:pPr>
      <w:r>
        <w:rPr>
          <w:rFonts w:hint="eastAsia" w:ascii="等线" w:hAnsi="等线" w:eastAsia="等线" w:cs="等线"/>
          <w:lang w:eastAsia="zh-CN"/>
        </w:rPr>
        <w:t>用户调研中收集的自然语言表达。</w:t>
      </w:r>
    </w:p>
    <w:bookmarkEnd w:id="274"/>
    <w:p w14:paraId="6166FB40">
      <w:pPr>
        <w:pStyle w:val="4"/>
        <w:rPr>
          <w:rFonts w:ascii="等线" w:hAnsi="等线" w:eastAsia="等线" w:cs="等线"/>
          <w:color w:val="auto"/>
        </w:rPr>
      </w:pPr>
      <w:bookmarkStart w:id="275" w:name="_Toc20583"/>
      <w:bookmarkStart w:id="276" w:name="_Toc224311475"/>
      <w:bookmarkStart w:id="277" w:name="_Toc4635"/>
      <w:bookmarkStart w:id="278" w:name="留痕与可审计"/>
      <w:r>
        <w:rPr>
          <w:rFonts w:hint="eastAsia" w:ascii="等线" w:hAnsi="等线" w:eastAsia="等线" w:cs="等线"/>
          <w:color w:val="auto"/>
        </w:rPr>
        <w:t>9.4 留痕与可审计</w:t>
      </w:r>
      <w:bookmarkEnd w:id="275"/>
      <w:bookmarkEnd w:id="276"/>
      <w:bookmarkEnd w:id="277"/>
    </w:p>
    <w:p w14:paraId="46C1B179">
      <w:pPr>
        <w:pStyle w:val="62"/>
        <w:rPr>
          <w:rFonts w:ascii="等线" w:hAnsi="等线" w:eastAsia="等线" w:cs="等线"/>
          <w:lang w:eastAsia="zh-CN"/>
        </w:rPr>
      </w:pPr>
      <w:r>
        <w:rPr>
          <w:rFonts w:hint="eastAsia" w:ascii="等线" w:hAnsi="等线" w:eastAsia="等线" w:cs="等线"/>
          <w:lang w:eastAsia="zh-CN"/>
        </w:rPr>
        <w:t>应完整保留：</w:t>
      </w:r>
    </w:p>
    <w:p w14:paraId="0FC24607">
      <w:pPr>
        <w:pStyle w:val="63"/>
        <w:numPr>
          <w:ilvl w:val="0"/>
          <w:numId w:val="5"/>
        </w:numPr>
        <w:rPr>
          <w:rFonts w:ascii="等线" w:hAnsi="等线" w:eastAsia="等线" w:cs="等线"/>
        </w:rPr>
      </w:pPr>
      <w:r>
        <w:rPr>
          <w:rFonts w:hint="eastAsia" w:ascii="等线" w:hAnsi="等线" w:eastAsia="等线" w:cs="等线"/>
        </w:rPr>
        <w:t>问题文本；</w:t>
      </w:r>
    </w:p>
    <w:p w14:paraId="2B053091">
      <w:pPr>
        <w:pStyle w:val="63"/>
        <w:numPr>
          <w:ilvl w:val="0"/>
          <w:numId w:val="5"/>
        </w:numPr>
        <w:rPr>
          <w:rFonts w:ascii="等线" w:hAnsi="等线" w:eastAsia="等线" w:cs="等线"/>
        </w:rPr>
      </w:pPr>
      <w:r>
        <w:rPr>
          <w:rFonts w:hint="eastAsia" w:ascii="等线" w:hAnsi="等线" w:eastAsia="等线" w:cs="等线"/>
        </w:rPr>
        <w:t>完整回答；</w:t>
      </w:r>
    </w:p>
    <w:p w14:paraId="01250318">
      <w:pPr>
        <w:pStyle w:val="63"/>
        <w:numPr>
          <w:ilvl w:val="0"/>
          <w:numId w:val="5"/>
        </w:numPr>
        <w:rPr>
          <w:rFonts w:ascii="等线" w:hAnsi="等线" w:eastAsia="等线" w:cs="等线"/>
        </w:rPr>
      </w:pPr>
      <w:r>
        <w:rPr>
          <w:rFonts w:hint="eastAsia" w:ascii="等线" w:hAnsi="等线" w:eastAsia="等线" w:cs="等线"/>
        </w:rPr>
        <w:t>时间戳；</w:t>
      </w:r>
    </w:p>
    <w:p w14:paraId="03F47016">
      <w:pPr>
        <w:pStyle w:val="63"/>
        <w:numPr>
          <w:ilvl w:val="0"/>
          <w:numId w:val="5"/>
        </w:numPr>
        <w:rPr>
          <w:rFonts w:ascii="等线" w:hAnsi="等线" w:eastAsia="等线" w:cs="等线"/>
        </w:rPr>
      </w:pPr>
      <w:r>
        <w:rPr>
          <w:rFonts w:hint="eastAsia" w:ascii="等线" w:hAnsi="等线" w:eastAsia="等线" w:cs="等线"/>
        </w:rPr>
        <w:t>模型与入口信息；</w:t>
      </w:r>
    </w:p>
    <w:p w14:paraId="537CB098">
      <w:pPr>
        <w:pStyle w:val="63"/>
        <w:numPr>
          <w:ilvl w:val="0"/>
          <w:numId w:val="5"/>
        </w:numPr>
        <w:rPr>
          <w:rFonts w:ascii="等线" w:hAnsi="等线" w:eastAsia="等线" w:cs="等线"/>
        </w:rPr>
      </w:pPr>
      <w:r>
        <w:rPr>
          <w:rFonts w:hint="eastAsia" w:ascii="等线" w:hAnsi="等线" w:eastAsia="等线" w:cs="等线"/>
        </w:rPr>
        <w:t>结构化标注结果；</w:t>
      </w:r>
    </w:p>
    <w:p w14:paraId="718F89D3">
      <w:pPr>
        <w:pStyle w:val="63"/>
        <w:numPr>
          <w:ilvl w:val="0"/>
          <w:numId w:val="5"/>
        </w:numPr>
        <w:rPr>
          <w:rFonts w:ascii="等线" w:hAnsi="等线" w:eastAsia="等线" w:cs="等线"/>
        </w:rPr>
      </w:pPr>
      <w:r>
        <w:rPr>
          <w:rFonts w:hint="eastAsia" w:ascii="等线" w:hAnsi="等线" w:eastAsia="等线" w:cs="等线"/>
        </w:rPr>
        <w:t>关键计算中间过程。</w:t>
      </w:r>
    </w:p>
    <w:bookmarkEnd w:id="278"/>
    <w:p w14:paraId="2AA75AA4">
      <w:pPr>
        <w:pStyle w:val="4"/>
        <w:rPr>
          <w:rFonts w:ascii="等线" w:hAnsi="等线" w:eastAsia="等线" w:cs="等线"/>
          <w:color w:val="auto"/>
        </w:rPr>
      </w:pPr>
      <w:bookmarkStart w:id="279" w:name="_Toc2192"/>
      <w:bookmarkStart w:id="280" w:name="_Toc224311476"/>
      <w:bookmarkStart w:id="281" w:name="_Toc8608"/>
      <w:bookmarkStart w:id="282" w:name="标注与质量控制"/>
      <w:r>
        <w:rPr>
          <w:rFonts w:hint="eastAsia" w:ascii="等线" w:hAnsi="等线" w:eastAsia="等线" w:cs="等线"/>
          <w:color w:val="auto"/>
        </w:rPr>
        <w:t>9.5 标注与质量控制</w:t>
      </w:r>
      <w:bookmarkEnd w:id="279"/>
      <w:bookmarkEnd w:id="280"/>
      <w:bookmarkEnd w:id="281"/>
    </w:p>
    <w:p w14:paraId="714D0A23">
      <w:pPr>
        <w:pStyle w:val="62"/>
        <w:rPr>
          <w:rFonts w:ascii="等线" w:hAnsi="等线" w:eastAsia="等线" w:cs="等线"/>
          <w:lang w:eastAsia="zh-CN"/>
        </w:rPr>
      </w:pPr>
      <w:r>
        <w:rPr>
          <w:rFonts w:hint="eastAsia" w:ascii="等线" w:hAnsi="等线" w:eastAsia="等线" w:cs="等线"/>
          <w:lang w:eastAsia="zh-CN"/>
        </w:rPr>
        <w:t>应建立统一标注规范，并采取以下质量控制措施：</w:t>
      </w:r>
    </w:p>
    <w:p w14:paraId="338AC246">
      <w:pPr>
        <w:pStyle w:val="63"/>
        <w:numPr>
          <w:ilvl w:val="0"/>
          <w:numId w:val="20"/>
        </w:numPr>
        <w:rPr>
          <w:rFonts w:ascii="等线" w:hAnsi="等线" w:eastAsia="等线" w:cs="等线"/>
        </w:rPr>
      </w:pPr>
      <w:r>
        <w:rPr>
          <w:rFonts w:hint="eastAsia" w:ascii="等线" w:hAnsi="等线" w:eastAsia="等线" w:cs="等线"/>
        </w:rPr>
        <w:t>多人交叉复核；</w:t>
      </w:r>
    </w:p>
    <w:p w14:paraId="6D4BBDEF">
      <w:pPr>
        <w:pStyle w:val="63"/>
        <w:numPr>
          <w:ilvl w:val="0"/>
          <w:numId w:val="20"/>
        </w:numPr>
        <w:rPr>
          <w:rFonts w:ascii="等线" w:hAnsi="等线" w:eastAsia="等线" w:cs="等线"/>
        </w:rPr>
      </w:pPr>
      <w:r>
        <w:rPr>
          <w:rFonts w:hint="eastAsia" w:ascii="等线" w:hAnsi="等线" w:eastAsia="等线" w:cs="等线"/>
        </w:rPr>
        <w:t>关键指标抽样复查；</w:t>
      </w:r>
    </w:p>
    <w:p w14:paraId="0DC2771C">
      <w:pPr>
        <w:pStyle w:val="63"/>
        <w:numPr>
          <w:ilvl w:val="0"/>
          <w:numId w:val="20"/>
        </w:numPr>
        <w:rPr>
          <w:rFonts w:ascii="等线" w:hAnsi="等线" w:eastAsia="等线" w:cs="等线"/>
          <w:lang w:eastAsia="zh-CN"/>
        </w:rPr>
      </w:pPr>
      <w:r>
        <w:rPr>
          <w:rFonts w:hint="eastAsia" w:ascii="等线" w:hAnsi="等线" w:eastAsia="等线" w:cs="等线"/>
          <w:lang w:eastAsia="zh-CN"/>
        </w:rPr>
        <w:t>对高波动题目进行单独识别与处置；</w:t>
      </w:r>
    </w:p>
    <w:p w14:paraId="78601541">
      <w:pPr>
        <w:pStyle w:val="63"/>
        <w:numPr>
          <w:ilvl w:val="0"/>
          <w:numId w:val="20"/>
        </w:numPr>
        <w:rPr>
          <w:rFonts w:ascii="等线" w:hAnsi="等线" w:eastAsia="等线" w:cs="等线"/>
          <w:lang w:eastAsia="zh-CN"/>
        </w:rPr>
      </w:pPr>
      <w:r>
        <w:rPr>
          <w:rFonts w:hint="eastAsia" w:ascii="等线" w:hAnsi="等线" w:eastAsia="等线" w:cs="等线"/>
          <w:lang w:eastAsia="zh-CN"/>
        </w:rPr>
        <w:t>对噪声、拒答和无效回答进行统一清洗规则管理。</w:t>
      </w:r>
    </w:p>
    <w:p w14:paraId="191C65A3">
      <w:pPr>
        <w:rPr>
          <w:rFonts w:ascii="等线" w:hAnsi="等线" w:eastAsia="等线" w:cs="等线"/>
        </w:rPr>
      </w:pPr>
    </w:p>
    <w:bookmarkEnd w:id="262"/>
    <w:bookmarkEnd w:id="282"/>
    <w:p w14:paraId="7173DDD4">
      <w:pPr>
        <w:pStyle w:val="3"/>
        <w:rPr>
          <w:rFonts w:ascii="等线" w:hAnsi="等线" w:eastAsia="等线" w:cs="等线"/>
          <w:color w:val="auto"/>
        </w:rPr>
      </w:pPr>
      <w:bookmarkStart w:id="283" w:name="_Toc13539"/>
      <w:bookmarkStart w:id="284" w:name="_Toc224311477"/>
      <w:bookmarkStart w:id="285" w:name="_Toc17129"/>
      <w:bookmarkStart w:id="286" w:name="第十章-防操纵与质量保障"/>
      <w:r>
        <w:rPr>
          <w:rFonts w:hint="eastAsia" w:ascii="等线" w:hAnsi="等线" w:eastAsia="等线" w:cs="等线"/>
          <w:color w:val="auto"/>
        </w:rPr>
        <w:t>第十章 防操纵与质量保障</w:t>
      </w:r>
      <w:bookmarkEnd w:id="283"/>
      <w:bookmarkEnd w:id="284"/>
      <w:bookmarkEnd w:id="285"/>
    </w:p>
    <w:p w14:paraId="0511F007">
      <w:pPr>
        <w:pStyle w:val="4"/>
        <w:rPr>
          <w:rFonts w:ascii="等线" w:hAnsi="等线" w:eastAsia="等线" w:cs="等线"/>
          <w:color w:val="auto"/>
        </w:rPr>
      </w:pPr>
      <w:bookmarkStart w:id="287" w:name="_Toc10290"/>
      <w:bookmarkStart w:id="288" w:name="_Toc224311478"/>
      <w:bookmarkStart w:id="289" w:name="_Toc22385"/>
      <w:bookmarkStart w:id="290" w:name="暗题与随机题机制"/>
      <w:r>
        <w:rPr>
          <w:rFonts w:hint="eastAsia" w:ascii="等线" w:hAnsi="等线" w:eastAsia="等线" w:cs="等线"/>
          <w:color w:val="auto"/>
        </w:rPr>
        <w:t>10.1 暗题与随机题机制</w:t>
      </w:r>
      <w:bookmarkEnd w:id="287"/>
      <w:bookmarkEnd w:id="288"/>
      <w:bookmarkEnd w:id="289"/>
    </w:p>
    <w:p w14:paraId="1C31E023">
      <w:pPr>
        <w:pStyle w:val="62"/>
        <w:rPr>
          <w:rFonts w:ascii="等线" w:hAnsi="等线" w:eastAsia="等线" w:cs="等线"/>
          <w:lang w:eastAsia="zh-CN"/>
        </w:rPr>
      </w:pPr>
      <w:r>
        <w:rPr>
          <w:rFonts w:hint="eastAsia" w:ascii="等线" w:hAnsi="等线" w:eastAsia="等线" w:cs="等线"/>
          <w:lang w:eastAsia="zh-CN"/>
        </w:rPr>
        <w:t>正式评测题集中应设置一定比例的暗题和随机题，用于识别特定品牌针对公开题进行定向优化的行为。暗题机制应作为正式评测的必要组成部分。</w:t>
      </w:r>
    </w:p>
    <w:bookmarkEnd w:id="290"/>
    <w:p w14:paraId="40705CE8">
      <w:pPr>
        <w:pStyle w:val="4"/>
        <w:rPr>
          <w:rFonts w:ascii="等线" w:hAnsi="等线" w:eastAsia="等线" w:cs="等线"/>
          <w:color w:val="auto"/>
        </w:rPr>
      </w:pPr>
      <w:bookmarkStart w:id="291" w:name="_Toc224311479"/>
      <w:bookmarkStart w:id="292" w:name="_Toc16739"/>
      <w:bookmarkStart w:id="293" w:name="_Toc14556"/>
      <w:bookmarkStart w:id="294" w:name="异常检测"/>
      <w:r>
        <w:rPr>
          <w:rFonts w:hint="eastAsia" w:ascii="等线" w:hAnsi="等线" w:eastAsia="等线" w:cs="等线"/>
          <w:color w:val="auto"/>
        </w:rPr>
        <w:t>10.2 异常检测</w:t>
      </w:r>
      <w:bookmarkEnd w:id="291"/>
      <w:bookmarkEnd w:id="292"/>
      <w:bookmarkEnd w:id="293"/>
    </w:p>
    <w:p w14:paraId="31A900FB">
      <w:pPr>
        <w:pStyle w:val="62"/>
        <w:rPr>
          <w:rFonts w:ascii="等线" w:hAnsi="等线" w:eastAsia="等线" w:cs="等线"/>
          <w:lang w:eastAsia="zh-CN"/>
        </w:rPr>
      </w:pPr>
      <w:r>
        <w:rPr>
          <w:rFonts w:hint="eastAsia" w:ascii="等线" w:hAnsi="等线" w:eastAsia="等线" w:cs="等线"/>
          <w:lang w:eastAsia="zh-CN"/>
        </w:rPr>
        <w:t>应对以下情况开展异常检测：</w:t>
      </w:r>
    </w:p>
    <w:p w14:paraId="3B9768B6">
      <w:pPr>
        <w:pStyle w:val="63"/>
        <w:numPr>
          <w:ilvl w:val="0"/>
          <w:numId w:val="21"/>
        </w:numPr>
        <w:rPr>
          <w:rFonts w:ascii="等线" w:hAnsi="等线" w:eastAsia="等线" w:cs="等线"/>
          <w:lang w:eastAsia="zh-CN"/>
        </w:rPr>
      </w:pPr>
      <w:r>
        <w:rPr>
          <w:rFonts w:hint="eastAsia" w:ascii="等线" w:hAnsi="等线" w:eastAsia="等线" w:cs="等线"/>
          <w:lang w:eastAsia="zh-CN"/>
        </w:rPr>
        <w:t>公开题与暗题表现差异异常；</w:t>
      </w:r>
    </w:p>
    <w:p w14:paraId="3A98EB8E">
      <w:pPr>
        <w:pStyle w:val="63"/>
        <w:numPr>
          <w:ilvl w:val="0"/>
          <w:numId w:val="21"/>
        </w:numPr>
        <w:rPr>
          <w:rFonts w:ascii="等线" w:hAnsi="等线" w:eastAsia="等线" w:cs="等线"/>
          <w:lang w:eastAsia="zh-CN"/>
        </w:rPr>
      </w:pPr>
      <w:r>
        <w:rPr>
          <w:rFonts w:hint="eastAsia" w:ascii="等线" w:hAnsi="等线" w:eastAsia="等线" w:cs="等线"/>
          <w:lang w:eastAsia="zh-CN"/>
        </w:rPr>
        <w:t>不同模型之间对同一品牌存在显著异常偏好；</w:t>
      </w:r>
    </w:p>
    <w:p w14:paraId="17916D79">
      <w:pPr>
        <w:pStyle w:val="63"/>
        <w:numPr>
          <w:ilvl w:val="0"/>
          <w:numId w:val="21"/>
        </w:numPr>
        <w:rPr>
          <w:rFonts w:ascii="等线" w:hAnsi="等线" w:eastAsia="等线" w:cs="等线"/>
          <w:lang w:eastAsia="zh-CN"/>
        </w:rPr>
      </w:pPr>
      <w:r>
        <w:rPr>
          <w:rFonts w:hint="eastAsia" w:ascii="等线" w:hAnsi="等线" w:eastAsia="等线" w:cs="等线"/>
          <w:lang w:eastAsia="zh-CN"/>
        </w:rPr>
        <w:t>个别答案结构或推荐路径呈现出非自然集中现象。</w:t>
      </w:r>
    </w:p>
    <w:bookmarkEnd w:id="294"/>
    <w:p w14:paraId="412167FD">
      <w:pPr>
        <w:pStyle w:val="4"/>
        <w:rPr>
          <w:rFonts w:ascii="等线" w:hAnsi="等线" w:eastAsia="等线" w:cs="等线"/>
          <w:color w:val="auto"/>
        </w:rPr>
      </w:pPr>
      <w:bookmarkStart w:id="295" w:name="_Toc18599"/>
      <w:bookmarkStart w:id="296" w:name="_Toc224311480"/>
      <w:bookmarkStart w:id="297" w:name="_Toc24324"/>
      <w:bookmarkStart w:id="298" w:name="数据质量管理"/>
      <w:r>
        <w:rPr>
          <w:rFonts w:hint="eastAsia" w:ascii="等线" w:hAnsi="等线" w:eastAsia="等线" w:cs="等线"/>
          <w:color w:val="auto"/>
        </w:rPr>
        <w:t>10.3 数据质量管理</w:t>
      </w:r>
      <w:bookmarkEnd w:id="295"/>
      <w:bookmarkEnd w:id="296"/>
      <w:bookmarkEnd w:id="297"/>
    </w:p>
    <w:p w14:paraId="399F351E">
      <w:pPr>
        <w:pStyle w:val="62"/>
        <w:rPr>
          <w:rFonts w:ascii="等线" w:hAnsi="等线" w:eastAsia="等线" w:cs="等线"/>
          <w:lang w:eastAsia="zh-CN"/>
        </w:rPr>
      </w:pPr>
      <w:r>
        <w:rPr>
          <w:rFonts w:hint="eastAsia" w:ascii="等线" w:hAnsi="等线" w:eastAsia="等线" w:cs="等线"/>
          <w:lang w:eastAsia="zh-CN"/>
        </w:rPr>
        <w:t>数据质量因素应纳入 MCI 评估，包括：</w:t>
      </w:r>
    </w:p>
    <w:p w14:paraId="2BC5A26E">
      <w:pPr>
        <w:pStyle w:val="63"/>
        <w:numPr>
          <w:ilvl w:val="0"/>
          <w:numId w:val="22"/>
        </w:numPr>
        <w:rPr>
          <w:rFonts w:ascii="等线" w:hAnsi="等线" w:eastAsia="等线" w:cs="等线"/>
        </w:rPr>
      </w:pPr>
      <w:r>
        <w:rPr>
          <w:rFonts w:hint="eastAsia" w:ascii="等线" w:hAnsi="等线" w:eastAsia="等线" w:cs="等线"/>
        </w:rPr>
        <w:t>有效回答率；</w:t>
      </w:r>
    </w:p>
    <w:p w14:paraId="57F52A54">
      <w:pPr>
        <w:pStyle w:val="63"/>
        <w:numPr>
          <w:ilvl w:val="0"/>
          <w:numId w:val="22"/>
        </w:numPr>
        <w:rPr>
          <w:rFonts w:ascii="等线" w:hAnsi="等线" w:eastAsia="等线" w:cs="等线"/>
        </w:rPr>
      </w:pPr>
      <w:r>
        <w:rPr>
          <w:rFonts w:hint="eastAsia" w:ascii="等线" w:hAnsi="等线" w:eastAsia="等线" w:cs="等线"/>
        </w:rPr>
        <w:t>噪声水平；</w:t>
      </w:r>
    </w:p>
    <w:p w14:paraId="7365C695">
      <w:pPr>
        <w:pStyle w:val="63"/>
        <w:numPr>
          <w:ilvl w:val="0"/>
          <w:numId w:val="22"/>
        </w:numPr>
        <w:rPr>
          <w:rFonts w:ascii="等线" w:hAnsi="等线" w:eastAsia="等线" w:cs="等线"/>
        </w:rPr>
      </w:pPr>
      <w:r>
        <w:rPr>
          <w:rFonts w:hint="eastAsia" w:ascii="等线" w:hAnsi="等线" w:eastAsia="等线" w:cs="等线"/>
        </w:rPr>
        <w:t>重复测量误差；</w:t>
      </w:r>
    </w:p>
    <w:p w14:paraId="22803BD1">
      <w:pPr>
        <w:pStyle w:val="63"/>
        <w:numPr>
          <w:ilvl w:val="0"/>
          <w:numId w:val="22"/>
        </w:numPr>
        <w:rPr>
          <w:rFonts w:ascii="等线" w:hAnsi="等线" w:eastAsia="等线" w:cs="等线"/>
        </w:rPr>
      </w:pPr>
      <w:r>
        <w:rPr>
          <w:rFonts w:hint="eastAsia" w:ascii="等线" w:hAnsi="等线" w:eastAsia="等线" w:cs="等线"/>
        </w:rPr>
        <w:t>标注一致性。</w:t>
      </w:r>
    </w:p>
    <w:bookmarkEnd w:id="298"/>
    <w:p w14:paraId="2C8373CE">
      <w:pPr>
        <w:pStyle w:val="4"/>
        <w:rPr>
          <w:rFonts w:ascii="等线" w:hAnsi="等线" w:eastAsia="等线" w:cs="等线"/>
          <w:color w:val="auto"/>
        </w:rPr>
      </w:pPr>
      <w:bookmarkStart w:id="299" w:name="_Toc224311481"/>
      <w:bookmarkStart w:id="300" w:name="_Toc30146"/>
      <w:bookmarkStart w:id="301" w:name="_Toc22279"/>
      <w:bookmarkStart w:id="302" w:name="结果发布要求"/>
      <w:r>
        <w:rPr>
          <w:rFonts w:hint="eastAsia" w:ascii="等线" w:hAnsi="等线" w:eastAsia="等线" w:cs="等线"/>
          <w:color w:val="auto"/>
        </w:rPr>
        <w:t>10.4 结果发布要求</w:t>
      </w:r>
      <w:bookmarkEnd w:id="299"/>
      <w:bookmarkEnd w:id="300"/>
      <w:bookmarkEnd w:id="301"/>
    </w:p>
    <w:p w14:paraId="49FE6620">
      <w:pPr>
        <w:pStyle w:val="62"/>
        <w:rPr>
          <w:rFonts w:ascii="等线" w:hAnsi="等线" w:eastAsia="等线" w:cs="等线"/>
          <w:lang w:eastAsia="zh-CN"/>
        </w:rPr>
      </w:pPr>
      <w:r>
        <w:rPr>
          <w:rFonts w:hint="eastAsia" w:ascii="等线" w:hAnsi="等线" w:eastAsia="等线" w:cs="等线"/>
          <w:lang w:eastAsia="zh-CN"/>
        </w:rPr>
        <w:t>对外发布结果时，应至少附带：</w:t>
      </w:r>
    </w:p>
    <w:p w14:paraId="3FA0AD9F">
      <w:pPr>
        <w:pStyle w:val="63"/>
        <w:numPr>
          <w:ilvl w:val="0"/>
          <w:numId w:val="23"/>
        </w:numPr>
        <w:rPr>
          <w:rFonts w:ascii="等线" w:hAnsi="等线" w:eastAsia="等线" w:cs="等线"/>
        </w:rPr>
      </w:pPr>
      <w:r>
        <w:rPr>
          <w:rFonts w:hint="eastAsia" w:ascii="等线" w:hAnsi="等线" w:eastAsia="等线" w:cs="等线"/>
        </w:rPr>
        <w:t>指数名称；</w:t>
      </w:r>
    </w:p>
    <w:p w14:paraId="123177FE">
      <w:pPr>
        <w:pStyle w:val="63"/>
        <w:numPr>
          <w:ilvl w:val="0"/>
          <w:numId w:val="23"/>
        </w:numPr>
        <w:rPr>
          <w:rFonts w:ascii="等线" w:hAnsi="等线" w:eastAsia="等线" w:cs="等线"/>
        </w:rPr>
      </w:pPr>
      <w:r>
        <w:rPr>
          <w:rFonts w:hint="eastAsia" w:ascii="等线" w:hAnsi="等线" w:eastAsia="等线" w:cs="等线"/>
        </w:rPr>
        <w:t>评价年份与版本号；</w:t>
      </w:r>
    </w:p>
    <w:p w14:paraId="0ED50CD7">
      <w:pPr>
        <w:pStyle w:val="63"/>
        <w:numPr>
          <w:ilvl w:val="0"/>
          <w:numId w:val="23"/>
        </w:numPr>
        <w:rPr>
          <w:rFonts w:ascii="等线" w:hAnsi="等线" w:eastAsia="等线" w:cs="等线"/>
        </w:rPr>
      </w:pPr>
      <w:r>
        <w:rPr>
          <w:rFonts w:hint="eastAsia" w:ascii="等线" w:hAnsi="等线" w:eastAsia="等线" w:cs="等线"/>
        </w:rPr>
        <w:t>发布机构名称；</w:t>
      </w:r>
    </w:p>
    <w:p w14:paraId="1E5A451C">
      <w:pPr>
        <w:pStyle w:val="63"/>
        <w:numPr>
          <w:ilvl w:val="0"/>
          <w:numId w:val="23"/>
        </w:numPr>
        <w:rPr>
          <w:rFonts w:ascii="等线" w:hAnsi="等线" w:eastAsia="等线" w:cs="等线"/>
        </w:rPr>
      </w:pPr>
      <w:r>
        <w:rPr>
          <w:rFonts w:hint="eastAsia" w:ascii="等线" w:hAnsi="等线" w:eastAsia="等线" w:cs="等线"/>
        </w:rPr>
        <w:t>测量窗口；</w:t>
      </w:r>
    </w:p>
    <w:p w14:paraId="081A1512">
      <w:pPr>
        <w:pStyle w:val="63"/>
        <w:numPr>
          <w:ilvl w:val="0"/>
          <w:numId w:val="23"/>
        </w:numPr>
        <w:rPr>
          <w:rFonts w:ascii="等线" w:hAnsi="等线" w:eastAsia="等线" w:cs="等线"/>
        </w:rPr>
      </w:pPr>
      <w:r>
        <w:rPr>
          <w:rFonts w:hint="eastAsia" w:ascii="等线" w:hAnsi="等线" w:eastAsia="等线" w:cs="等线"/>
        </w:rPr>
        <w:t>MCI 提示；</w:t>
      </w:r>
    </w:p>
    <w:p w14:paraId="6BA71B78">
      <w:pPr>
        <w:pStyle w:val="63"/>
        <w:numPr>
          <w:ilvl w:val="0"/>
          <w:numId w:val="23"/>
        </w:numPr>
        <w:rPr>
          <w:rFonts w:ascii="等线" w:hAnsi="等线" w:eastAsia="等线" w:cs="等线"/>
          <w:lang w:eastAsia="zh-CN"/>
        </w:rPr>
      </w:pPr>
      <w:r>
        <w:rPr>
          <w:rFonts w:hint="eastAsia" w:ascii="等线" w:hAnsi="等线" w:eastAsia="等线" w:cs="等线"/>
          <w:lang w:eastAsia="zh-CN"/>
        </w:rPr>
        <w:t>必要的边界说明与合规提示。</w:t>
      </w:r>
    </w:p>
    <w:p w14:paraId="04D5B2D3">
      <w:pPr>
        <w:rPr>
          <w:rFonts w:ascii="等线" w:hAnsi="等线" w:eastAsia="等线" w:cs="等线"/>
        </w:rPr>
      </w:pPr>
    </w:p>
    <w:bookmarkEnd w:id="286"/>
    <w:bookmarkEnd w:id="302"/>
    <w:p w14:paraId="1539EF3E">
      <w:pPr>
        <w:pStyle w:val="3"/>
        <w:rPr>
          <w:rFonts w:ascii="等线" w:hAnsi="等线" w:eastAsia="等线" w:cs="等线"/>
          <w:color w:val="auto"/>
        </w:rPr>
      </w:pPr>
      <w:bookmarkStart w:id="303" w:name="_Toc224311482"/>
      <w:bookmarkStart w:id="304" w:name="_Toc13163"/>
      <w:bookmarkStart w:id="305" w:name="_Toc4728"/>
      <w:bookmarkStart w:id="306" w:name="第十一章-结果表达与等级划分"/>
      <w:r>
        <w:rPr>
          <w:rFonts w:hint="eastAsia" w:ascii="等线" w:hAnsi="等线" w:eastAsia="等线" w:cs="等线"/>
          <w:color w:val="auto"/>
        </w:rPr>
        <w:t>第十一章 结果表达与等级划分</w:t>
      </w:r>
      <w:bookmarkEnd w:id="303"/>
      <w:bookmarkEnd w:id="304"/>
      <w:bookmarkEnd w:id="305"/>
    </w:p>
    <w:p w14:paraId="6A9BE5E7">
      <w:pPr>
        <w:pStyle w:val="4"/>
        <w:rPr>
          <w:rFonts w:ascii="等线" w:hAnsi="等线" w:eastAsia="等线" w:cs="等线"/>
          <w:color w:val="auto"/>
        </w:rPr>
      </w:pPr>
      <w:bookmarkStart w:id="307" w:name="_Toc224311483"/>
      <w:bookmarkStart w:id="308" w:name="_Toc17012"/>
      <w:bookmarkStart w:id="309" w:name="_Toc3298"/>
      <w:bookmarkStart w:id="310" w:name="结果表达"/>
      <w:r>
        <w:rPr>
          <w:rFonts w:hint="eastAsia" w:ascii="等线" w:hAnsi="等线" w:eastAsia="等线" w:cs="等线"/>
          <w:color w:val="auto"/>
        </w:rPr>
        <w:t>11.1 结果表达</w:t>
      </w:r>
      <w:bookmarkEnd w:id="307"/>
      <w:bookmarkEnd w:id="308"/>
      <w:bookmarkEnd w:id="309"/>
    </w:p>
    <w:p w14:paraId="79CFBA96">
      <w:pPr>
        <w:pStyle w:val="62"/>
        <w:rPr>
          <w:rFonts w:ascii="等线" w:hAnsi="等线" w:eastAsia="等线" w:cs="等线"/>
          <w:lang w:eastAsia="zh-CN"/>
        </w:rPr>
      </w:pPr>
      <w:r>
        <w:rPr>
          <w:rFonts w:hint="eastAsia" w:ascii="等线" w:hAnsi="等线" w:eastAsia="等线" w:cs="等线"/>
          <w:lang w:eastAsia="zh-CN"/>
        </w:rPr>
        <w:t>建议对每个被评价品牌至少公开以下内容：</w:t>
      </w:r>
    </w:p>
    <w:p w14:paraId="31360D5F">
      <w:pPr>
        <w:pStyle w:val="63"/>
        <w:numPr>
          <w:ilvl w:val="0"/>
          <w:numId w:val="24"/>
        </w:numPr>
        <w:rPr>
          <w:rFonts w:ascii="等线" w:hAnsi="等线" w:eastAsia="等线" w:cs="等线"/>
          <w:lang w:eastAsia="zh-CN"/>
        </w:rPr>
      </w:pPr>
      <w:r>
        <w:rPr>
          <w:rFonts w:hint="eastAsia" w:ascii="等线" w:hAnsi="等线" w:eastAsia="等线" w:cs="等线"/>
          <w:lang w:eastAsia="zh-CN"/>
        </w:rPr>
        <w:t>AIP：AI 表现基础指数；</w:t>
      </w:r>
    </w:p>
    <w:p w14:paraId="01ABB92D">
      <w:pPr>
        <w:pStyle w:val="63"/>
        <w:numPr>
          <w:ilvl w:val="0"/>
          <w:numId w:val="24"/>
        </w:numPr>
        <w:rPr>
          <w:rFonts w:ascii="等线" w:hAnsi="等线" w:eastAsia="等线" w:cs="等线"/>
          <w:lang w:eastAsia="zh-CN"/>
        </w:rPr>
      </w:pPr>
      <w:r>
        <w:rPr>
          <w:rFonts w:hint="eastAsia" w:ascii="等线" w:hAnsi="等线" w:eastAsia="等线" w:cs="等线"/>
          <w:lang w:eastAsia="zh-CN"/>
        </w:rPr>
        <w:t>AIC：AI 建设指数；</w:t>
      </w:r>
    </w:p>
    <w:p w14:paraId="33EBA7A6">
      <w:pPr>
        <w:pStyle w:val="63"/>
        <w:numPr>
          <w:ilvl w:val="0"/>
          <w:numId w:val="24"/>
        </w:numPr>
        <w:rPr>
          <w:rFonts w:ascii="等线" w:hAnsi="等线" w:eastAsia="等线" w:cs="等线"/>
          <w:lang w:eastAsia="zh-CN"/>
        </w:rPr>
      </w:pPr>
      <w:r>
        <w:rPr>
          <w:rFonts w:hint="eastAsia" w:ascii="等线" w:hAnsi="等线" w:eastAsia="等线" w:cs="等线"/>
          <w:lang w:eastAsia="zh-CN"/>
        </w:rPr>
        <w:t>AIR：AI 风险与稳定性指数；</w:t>
      </w:r>
    </w:p>
    <w:p w14:paraId="728B5CE7">
      <w:pPr>
        <w:pStyle w:val="63"/>
        <w:numPr>
          <w:ilvl w:val="0"/>
          <w:numId w:val="24"/>
        </w:numPr>
        <w:rPr>
          <w:rFonts w:ascii="等线" w:hAnsi="等线" w:eastAsia="等线" w:cs="等线"/>
          <w:lang w:eastAsia="zh-CN"/>
        </w:rPr>
      </w:pPr>
      <w:r>
        <w:rPr>
          <w:rFonts w:hint="eastAsia" w:ascii="等线" w:hAnsi="等线" w:eastAsia="等线" w:cs="等线"/>
          <w:lang w:eastAsia="zh-CN"/>
        </w:rPr>
        <w:t>UAF：用户–AI 对齐系数；</w:t>
      </w:r>
    </w:p>
    <w:p w14:paraId="6777F357">
      <w:pPr>
        <w:pStyle w:val="63"/>
        <w:numPr>
          <w:ilvl w:val="0"/>
          <w:numId w:val="24"/>
        </w:numPr>
        <w:rPr>
          <w:rFonts w:ascii="等线" w:hAnsi="等线" w:eastAsia="等线" w:cs="等线"/>
          <w:lang w:eastAsia="zh-CN"/>
        </w:rPr>
      </w:pPr>
      <w:r>
        <w:rPr>
          <w:rFonts w:hint="eastAsia" w:ascii="等线" w:hAnsi="等线" w:eastAsia="等线" w:cs="等线"/>
          <w:lang w:eastAsia="zh-CN"/>
        </w:rPr>
        <w:t>MCI：方法置信度指数；</w:t>
      </w:r>
    </w:p>
    <w:p w14:paraId="7FBF4052">
      <w:pPr>
        <w:pStyle w:val="63"/>
        <w:numPr>
          <w:ilvl w:val="0"/>
          <w:numId w:val="24"/>
        </w:numPr>
        <w:rPr>
          <w:rFonts w:ascii="等线" w:hAnsi="等线" w:eastAsia="等线" w:cs="等线"/>
          <w:lang w:eastAsia="zh-CN"/>
        </w:rPr>
      </w:pPr>
      <w:r>
        <w:rPr>
          <w:rFonts w:hint="eastAsia" w:ascii="等线" w:hAnsi="等线" w:eastAsia="等线" w:cs="等线"/>
          <w:lang w:eastAsia="zh-CN"/>
        </w:rPr>
        <w:t>如使用综合指数，可同步给出综合分及相应说明。</w:t>
      </w:r>
    </w:p>
    <w:bookmarkEnd w:id="310"/>
    <w:p w14:paraId="67138352">
      <w:pPr>
        <w:pStyle w:val="4"/>
        <w:rPr>
          <w:rFonts w:ascii="等线" w:hAnsi="等线" w:eastAsia="等线" w:cs="等线"/>
          <w:color w:val="auto"/>
        </w:rPr>
      </w:pPr>
      <w:bookmarkStart w:id="311" w:name="_Toc14457"/>
      <w:bookmarkStart w:id="312" w:name="_Toc224311484"/>
      <w:bookmarkStart w:id="313" w:name="_Toc4578"/>
      <w:bookmarkStart w:id="314" w:name="等级划分示例"/>
      <w:r>
        <w:rPr>
          <w:rFonts w:hint="eastAsia" w:ascii="等线" w:hAnsi="等线" w:eastAsia="等线" w:cs="等线"/>
          <w:color w:val="auto"/>
        </w:rPr>
        <w:t>11.2 等级划分示例</w:t>
      </w:r>
      <w:bookmarkEnd w:id="311"/>
      <w:bookmarkEnd w:id="312"/>
      <w:bookmarkEnd w:id="313"/>
    </w:p>
    <w:p w14:paraId="72A1D274">
      <w:pPr>
        <w:pStyle w:val="62"/>
        <w:rPr>
          <w:rFonts w:ascii="等线" w:hAnsi="等线" w:eastAsia="等线" w:cs="等线"/>
          <w:lang w:eastAsia="zh-CN"/>
        </w:rPr>
      </w:pPr>
      <w:r>
        <w:rPr>
          <w:rFonts w:hint="eastAsia" w:ascii="等线" w:hAnsi="等线" w:eastAsia="等线" w:cs="等线"/>
          <w:lang w:eastAsia="zh-CN"/>
        </w:rPr>
        <w:t>为便于理解与比较，可设置如下示例等级：</w:t>
      </w:r>
    </w:p>
    <w:p w14:paraId="45139B09">
      <w:pPr>
        <w:pStyle w:val="10"/>
        <w:rPr>
          <w:rFonts w:ascii="等线" w:hAnsi="等线" w:eastAsia="等线" w:cs="等线"/>
          <w:lang w:eastAsia="zh-CN"/>
        </w:rPr>
      </w:pPr>
      <w:r>
        <w:rPr>
          <w:rFonts w:hint="eastAsia" w:ascii="等线" w:hAnsi="等线" w:eastAsia="等线" w:cs="等线"/>
          <w:b/>
          <w:bCs/>
          <w:lang w:eastAsia="zh-CN"/>
        </w:rPr>
        <w:t>AIP 等级（表现）</w:t>
      </w:r>
      <w:r>
        <w:rPr>
          <w:rFonts w:hint="eastAsia" w:ascii="等线" w:hAnsi="等线" w:eastAsia="等线" w:cs="等线"/>
          <w:lang w:eastAsia="zh-CN"/>
        </w:rPr>
        <w:t xml:space="preserve"> - A：≥85 - B：70–84 - C：55–69 - D：&lt;55</w:t>
      </w:r>
    </w:p>
    <w:p w14:paraId="1C2F7B84">
      <w:pPr>
        <w:pStyle w:val="10"/>
        <w:rPr>
          <w:rFonts w:ascii="等线" w:hAnsi="等线" w:eastAsia="等线" w:cs="等线"/>
          <w:lang w:eastAsia="zh-CN"/>
        </w:rPr>
      </w:pPr>
      <w:r>
        <w:rPr>
          <w:rFonts w:hint="eastAsia" w:ascii="等线" w:hAnsi="等线" w:eastAsia="等线" w:cs="等线"/>
          <w:b/>
          <w:bCs/>
          <w:lang w:eastAsia="zh-CN"/>
        </w:rPr>
        <w:t>AIR 等级（风险）</w:t>
      </w:r>
      <w:r>
        <w:rPr>
          <w:rFonts w:hint="eastAsia" w:ascii="等线" w:hAnsi="等线" w:eastAsia="等线" w:cs="等线"/>
          <w:lang w:eastAsia="zh-CN"/>
        </w:rPr>
        <w:t xml:space="preserve"> - 低风险：≥85 - 中风险：70–84 - 较高风险：55–69 - 高风险：&lt;55</w:t>
      </w:r>
    </w:p>
    <w:p w14:paraId="64A24939">
      <w:pPr>
        <w:pStyle w:val="10"/>
        <w:rPr>
          <w:rFonts w:ascii="等线" w:hAnsi="等线" w:eastAsia="等线" w:cs="等线"/>
          <w:lang w:eastAsia="zh-CN"/>
        </w:rPr>
      </w:pPr>
      <w:r>
        <w:rPr>
          <w:rFonts w:hint="eastAsia" w:ascii="等线" w:hAnsi="等线" w:eastAsia="等线" w:cs="等线"/>
          <w:b/>
          <w:bCs/>
          <w:lang w:eastAsia="zh-CN"/>
        </w:rPr>
        <w:t>AIC 等级（建设）</w:t>
      </w:r>
      <w:r>
        <w:rPr>
          <w:rFonts w:hint="eastAsia" w:ascii="等线" w:hAnsi="等线" w:eastAsia="等线" w:cs="等线"/>
          <w:lang w:eastAsia="zh-CN"/>
        </w:rPr>
        <w:t xml:space="preserve"> - 建设领先：≥80 - 建设中等：60–79 - 建设起步：&lt;60</w:t>
      </w:r>
    </w:p>
    <w:p w14:paraId="40DFFA7B">
      <w:pPr>
        <w:pStyle w:val="10"/>
        <w:rPr>
          <w:rFonts w:ascii="等线" w:hAnsi="等线" w:eastAsia="等线" w:cs="等线"/>
          <w:lang w:eastAsia="zh-CN"/>
        </w:rPr>
      </w:pPr>
      <w:r>
        <w:rPr>
          <w:rFonts w:hint="eastAsia" w:ascii="等线" w:hAnsi="等线" w:eastAsia="等线" w:cs="等线"/>
          <w:lang w:eastAsia="zh-CN"/>
        </w:rPr>
        <w:t>等级边界可根据样本分布和行业情况适度校准。</w:t>
      </w:r>
    </w:p>
    <w:p w14:paraId="6B99144D">
      <w:pPr>
        <w:rPr>
          <w:rFonts w:ascii="等线" w:hAnsi="等线" w:eastAsia="等线" w:cs="等线"/>
        </w:rPr>
      </w:pPr>
    </w:p>
    <w:bookmarkEnd w:id="306"/>
    <w:bookmarkEnd w:id="314"/>
    <w:p w14:paraId="6AACC315">
      <w:pPr>
        <w:pStyle w:val="3"/>
        <w:rPr>
          <w:rFonts w:ascii="等线" w:hAnsi="等线" w:eastAsia="等线" w:cs="等线"/>
          <w:color w:val="auto"/>
        </w:rPr>
      </w:pPr>
      <w:bookmarkStart w:id="315" w:name="_Toc224311485"/>
      <w:bookmarkStart w:id="316" w:name="_Toc15223"/>
      <w:bookmarkStart w:id="317" w:name="_Toc30426"/>
      <w:bookmarkStart w:id="318" w:name="第十二章-使用规范与合规要求"/>
      <w:r>
        <w:rPr>
          <w:rFonts w:hint="eastAsia" w:ascii="等线" w:hAnsi="等线" w:eastAsia="等线" w:cs="等线"/>
          <w:color w:val="auto"/>
        </w:rPr>
        <w:t>第十二章 使用规范与合规要求</w:t>
      </w:r>
      <w:bookmarkEnd w:id="315"/>
      <w:bookmarkEnd w:id="316"/>
      <w:bookmarkEnd w:id="317"/>
    </w:p>
    <w:p w14:paraId="00C4F93D">
      <w:pPr>
        <w:pStyle w:val="4"/>
        <w:rPr>
          <w:rFonts w:ascii="等线" w:hAnsi="等线" w:eastAsia="等线" w:cs="等线"/>
          <w:color w:val="auto"/>
        </w:rPr>
      </w:pPr>
      <w:bookmarkStart w:id="319" w:name="_Toc22533"/>
      <w:bookmarkStart w:id="320" w:name="_Toc224311486"/>
      <w:bookmarkStart w:id="321" w:name="_Toc14834"/>
      <w:bookmarkStart w:id="322" w:name="指数使用边界"/>
      <w:r>
        <w:rPr>
          <w:rFonts w:hint="eastAsia" w:ascii="等线" w:hAnsi="等线" w:eastAsia="等线" w:cs="等线"/>
          <w:color w:val="auto"/>
        </w:rPr>
        <w:t>12.1 指数使用边界</w:t>
      </w:r>
      <w:bookmarkEnd w:id="319"/>
      <w:bookmarkEnd w:id="320"/>
      <w:bookmarkEnd w:id="321"/>
    </w:p>
    <w:p w14:paraId="1F9A4F43">
      <w:pPr>
        <w:pStyle w:val="62"/>
        <w:rPr>
          <w:rFonts w:ascii="等线" w:hAnsi="等线" w:eastAsia="等线" w:cs="等线"/>
          <w:lang w:eastAsia="zh-CN"/>
        </w:rPr>
      </w:pPr>
      <w:r>
        <w:rPr>
          <w:rFonts w:hint="eastAsia" w:ascii="等线" w:hAnsi="等线" w:eastAsia="等线" w:cs="等线"/>
          <w:lang w:eastAsia="zh-CN"/>
        </w:rPr>
        <w:t>AIBV 反映的是品牌在主流 AI 模型中的语义表现及相关建设情况，属于“AI 语义空间的品牌资产”，不等同于对品牌整体商业价值、社会价值或合规性的全面评价。</w:t>
      </w:r>
    </w:p>
    <w:bookmarkEnd w:id="322"/>
    <w:p w14:paraId="7DDF765C">
      <w:pPr>
        <w:pStyle w:val="4"/>
        <w:rPr>
          <w:rFonts w:ascii="等线" w:hAnsi="等线" w:eastAsia="等线" w:cs="等线"/>
          <w:color w:val="auto"/>
        </w:rPr>
      </w:pPr>
      <w:bookmarkStart w:id="323" w:name="_Toc21428"/>
      <w:bookmarkStart w:id="324" w:name="_Toc224311487"/>
      <w:bookmarkStart w:id="325" w:name="_Toc28892"/>
      <w:bookmarkStart w:id="326" w:name="对外引用规范"/>
      <w:r>
        <w:rPr>
          <w:rFonts w:hint="eastAsia" w:ascii="等线" w:hAnsi="等线" w:eastAsia="等线" w:cs="等线"/>
          <w:color w:val="auto"/>
        </w:rPr>
        <w:t>12.2 对外引用规范</w:t>
      </w:r>
      <w:bookmarkEnd w:id="323"/>
      <w:bookmarkEnd w:id="324"/>
      <w:bookmarkEnd w:id="325"/>
    </w:p>
    <w:p w14:paraId="00CC9588">
      <w:pPr>
        <w:pStyle w:val="62"/>
        <w:rPr>
          <w:rFonts w:ascii="等线" w:hAnsi="等线" w:eastAsia="等线" w:cs="等线"/>
          <w:lang w:eastAsia="zh-CN"/>
        </w:rPr>
      </w:pPr>
      <w:r>
        <w:rPr>
          <w:rFonts w:hint="eastAsia" w:ascii="等线" w:hAnsi="等线" w:eastAsia="等线" w:cs="等线"/>
          <w:lang w:eastAsia="zh-CN"/>
        </w:rPr>
        <w:t>品牌、媒体和合作机构在引用 AIBV 结果时，应注明：</w:t>
      </w:r>
    </w:p>
    <w:p w14:paraId="43914611">
      <w:pPr>
        <w:pStyle w:val="63"/>
        <w:numPr>
          <w:ilvl w:val="0"/>
          <w:numId w:val="25"/>
        </w:numPr>
        <w:rPr>
          <w:rFonts w:ascii="等线" w:hAnsi="等线" w:eastAsia="等线" w:cs="等线"/>
        </w:rPr>
      </w:pPr>
      <w:r>
        <w:rPr>
          <w:rFonts w:hint="eastAsia" w:ascii="等线" w:hAnsi="等线" w:eastAsia="等线" w:cs="等线"/>
        </w:rPr>
        <w:t>指数名称；</w:t>
      </w:r>
    </w:p>
    <w:p w14:paraId="3739D4D7">
      <w:pPr>
        <w:pStyle w:val="63"/>
        <w:numPr>
          <w:ilvl w:val="0"/>
          <w:numId w:val="25"/>
        </w:numPr>
        <w:rPr>
          <w:rFonts w:ascii="等线" w:hAnsi="等线" w:eastAsia="等线" w:cs="等线"/>
        </w:rPr>
      </w:pPr>
      <w:r>
        <w:rPr>
          <w:rFonts w:hint="eastAsia" w:ascii="等线" w:hAnsi="等线" w:eastAsia="等线" w:cs="等线"/>
        </w:rPr>
        <w:t>评价年份；</w:t>
      </w:r>
    </w:p>
    <w:p w14:paraId="40A7192B">
      <w:pPr>
        <w:pStyle w:val="63"/>
        <w:numPr>
          <w:ilvl w:val="0"/>
          <w:numId w:val="25"/>
        </w:numPr>
        <w:rPr>
          <w:rFonts w:ascii="等线" w:hAnsi="等线" w:eastAsia="等线" w:cs="等线"/>
        </w:rPr>
      </w:pPr>
      <w:r>
        <w:rPr>
          <w:rFonts w:hint="eastAsia" w:ascii="等线" w:hAnsi="等线" w:eastAsia="等线" w:cs="等线"/>
        </w:rPr>
        <w:t>版本号；</w:t>
      </w:r>
    </w:p>
    <w:p w14:paraId="657D5106">
      <w:pPr>
        <w:pStyle w:val="63"/>
        <w:numPr>
          <w:ilvl w:val="0"/>
          <w:numId w:val="25"/>
        </w:numPr>
        <w:rPr>
          <w:rFonts w:ascii="等线" w:hAnsi="等线" w:eastAsia="等线" w:cs="等线"/>
        </w:rPr>
      </w:pPr>
      <w:r>
        <w:rPr>
          <w:rFonts w:hint="eastAsia" w:ascii="等线" w:hAnsi="等线" w:eastAsia="等线" w:cs="等线"/>
        </w:rPr>
        <w:t>发布机构名称。</w:t>
      </w:r>
    </w:p>
    <w:p w14:paraId="139A3B2F">
      <w:pPr>
        <w:pStyle w:val="62"/>
        <w:rPr>
          <w:rFonts w:ascii="等线" w:hAnsi="等线" w:eastAsia="等线" w:cs="等线"/>
          <w:lang w:eastAsia="zh-CN"/>
        </w:rPr>
      </w:pPr>
      <w:r>
        <w:rPr>
          <w:rFonts w:hint="eastAsia" w:ascii="等线" w:hAnsi="等线" w:eastAsia="等线" w:cs="等线"/>
          <w:lang w:eastAsia="zh-CN"/>
        </w:rPr>
        <w:t>不得使用容易引起误解的绝对化表述，不得混淆不同指数、不同版本和不同测量窗口的结果。</w:t>
      </w:r>
    </w:p>
    <w:bookmarkEnd w:id="326"/>
    <w:p w14:paraId="1EDD320C">
      <w:pPr>
        <w:pStyle w:val="4"/>
        <w:rPr>
          <w:rFonts w:ascii="等线" w:hAnsi="等线" w:eastAsia="等线" w:cs="等线"/>
          <w:color w:val="auto"/>
        </w:rPr>
      </w:pPr>
      <w:bookmarkStart w:id="327" w:name="_Toc224311488"/>
      <w:bookmarkStart w:id="328" w:name="_Toc26318"/>
      <w:bookmarkStart w:id="329" w:name="_Toc2302"/>
      <w:bookmarkStart w:id="330" w:name="争议处理与申诉机制"/>
      <w:r>
        <w:rPr>
          <w:rFonts w:hint="eastAsia" w:ascii="等线" w:hAnsi="等线" w:eastAsia="等线" w:cs="等线"/>
          <w:color w:val="auto"/>
        </w:rPr>
        <w:t>12.3 争议处理与申诉机制</w:t>
      </w:r>
      <w:bookmarkEnd w:id="327"/>
      <w:bookmarkEnd w:id="328"/>
      <w:bookmarkEnd w:id="329"/>
    </w:p>
    <w:p w14:paraId="26D5C423">
      <w:pPr>
        <w:pStyle w:val="63"/>
        <w:numPr>
          <w:ilvl w:val="0"/>
          <w:numId w:val="26"/>
        </w:numPr>
        <w:rPr>
          <w:rFonts w:ascii="等线" w:hAnsi="等线" w:eastAsia="等线" w:cs="等线"/>
          <w:lang w:eastAsia="zh-CN"/>
        </w:rPr>
      </w:pPr>
      <w:r>
        <w:rPr>
          <w:rFonts w:hint="eastAsia" w:ascii="等线" w:hAnsi="等线" w:eastAsia="等线" w:cs="等线"/>
          <w:lang w:eastAsia="zh-CN"/>
        </w:rPr>
        <w:t>品牌可在结果正式发布前，对自身数据和描述进行核对；</w:t>
      </w:r>
    </w:p>
    <w:p w14:paraId="71D23B05">
      <w:pPr>
        <w:pStyle w:val="63"/>
        <w:numPr>
          <w:ilvl w:val="0"/>
          <w:numId w:val="26"/>
        </w:numPr>
        <w:rPr>
          <w:rFonts w:ascii="等线" w:hAnsi="等线" w:eastAsia="等线" w:cs="等线"/>
          <w:lang w:eastAsia="zh-CN"/>
        </w:rPr>
      </w:pPr>
      <w:r>
        <w:rPr>
          <w:rFonts w:hint="eastAsia" w:ascii="等线" w:hAnsi="等线" w:eastAsia="等线" w:cs="等线"/>
          <w:lang w:eastAsia="zh-CN"/>
        </w:rPr>
        <w:t>对事实性错误，可提交证据申请修正；</w:t>
      </w:r>
    </w:p>
    <w:p w14:paraId="292F1386">
      <w:pPr>
        <w:pStyle w:val="63"/>
        <w:numPr>
          <w:ilvl w:val="0"/>
          <w:numId w:val="26"/>
        </w:numPr>
        <w:rPr>
          <w:rFonts w:ascii="等线" w:hAnsi="等线" w:eastAsia="等线" w:cs="等线"/>
          <w:lang w:eastAsia="zh-CN"/>
        </w:rPr>
      </w:pPr>
      <w:r>
        <w:rPr>
          <w:rFonts w:hint="eastAsia" w:ascii="等线" w:hAnsi="等线" w:eastAsia="等线" w:cs="等线"/>
          <w:lang w:eastAsia="zh-CN"/>
        </w:rPr>
        <w:t>对涉及重大负面风险的内容，可申请技术与专家复核；</w:t>
      </w:r>
    </w:p>
    <w:p w14:paraId="0E0CB3F4">
      <w:pPr>
        <w:pStyle w:val="63"/>
        <w:numPr>
          <w:ilvl w:val="0"/>
          <w:numId w:val="26"/>
        </w:numPr>
        <w:rPr>
          <w:rFonts w:ascii="等线" w:hAnsi="等线" w:eastAsia="等线" w:cs="等线"/>
          <w:lang w:eastAsia="zh-CN"/>
        </w:rPr>
      </w:pPr>
      <w:r>
        <w:rPr>
          <w:rFonts w:hint="eastAsia" w:ascii="等线" w:hAnsi="等线" w:eastAsia="等线" w:cs="等线"/>
          <w:lang w:eastAsia="zh-CN"/>
        </w:rPr>
        <w:t>申诉流程与时限应在实施细则中明确。</w:t>
      </w:r>
    </w:p>
    <w:bookmarkEnd w:id="330"/>
    <w:p w14:paraId="18605AEE">
      <w:pPr>
        <w:pStyle w:val="4"/>
        <w:rPr>
          <w:rFonts w:ascii="等线" w:hAnsi="等线" w:eastAsia="等线" w:cs="等线"/>
          <w:color w:val="auto"/>
        </w:rPr>
      </w:pPr>
      <w:bookmarkStart w:id="331" w:name="_Toc27776"/>
      <w:bookmarkStart w:id="332" w:name="_Toc224311489"/>
      <w:bookmarkStart w:id="333" w:name="_Toc4525"/>
      <w:bookmarkStart w:id="334" w:name="高风险品牌的信息披露"/>
      <w:r>
        <w:rPr>
          <w:rFonts w:hint="eastAsia" w:ascii="等线" w:hAnsi="等线" w:eastAsia="等线" w:cs="等线"/>
          <w:color w:val="auto"/>
        </w:rPr>
        <w:t>12.4 高风险品牌的信息披露</w:t>
      </w:r>
      <w:bookmarkEnd w:id="331"/>
      <w:bookmarkEnd w:id="332"/>
      <w:bookmarkEnd w:id="333"/>
    </w:p>
    <w:p w14:paraId="438D1448">
      <w:pPr>
        <w:pStyle w:val="62"/>
        <w:rPr>
          <w:rFonts w:ascii="等线" w:hAnsi="等线" w:eastAsia="等线" w:cs="等线"/>
          <w:lang w:eastAsia="zh-CN"/>
        </w:rPr>
      </w:pPr>
      <w:r>
        <w:rPr>
          <w:rFonts w:hint="eastAsia" w:ascii="等线" w:hAnsi="等线" w:eastAsia="等线" w:cs="等线"/>
          <w:lang w:eastAsia="zh-CN"/>
        </w:rPr>
        <w:t>对于 AIR 得分较低且风险明显的品牌，建议优先采取非公开反馈方式进行治理支持；如需公开披露，应在充分告知、事实复核和合规审慎的前提下实施。</w:t>
      </w:r>
    </w:p>
    <w:p w14:paraId="164FF45C">
      <w:pPr>
        <w:rPr>
          <w:rFonts w:ascii="等线" w:hAnsi="等线" w:eastAsia="等线" w:cs="等线"/>
        </w:rPr>
      </w:pPr>
    </w:p>
    <w:bookmarkEnd w:id="318"/>
    <w:bookmarkEnd w:id="334"/>
    <w:p w14:paraId="145E3DF9">
      <w:pPr>
        <w:pStyle w:val="3"/>
        <w:rPr>
          <w:rFonts w:ascii="等线" w:hAnsi="等线" w:eastAsia="等线" w:cs="等线"/>
          <w:color w:val="auto"/>
        </w:rPr>
      </w:pPr>
      <w:bookmarkStart w:id="335" w:name="_Toc27163"/>
      <w:bookmarkStart w:id="336" w:name="_Toc224311490"/>
      <w:bookmarkStart w:id="337" w:name="_Toc11598"/>
      <w:bookmarkStart w:id="338" w:name="第十三章-版本管理与扩展应用"/>
      <w:r>
        <w:rPr>
          <w:rFonts w:hint="eastAsia" w:ascii="等线" w:hAnsi="等线" w:eastAsia="等线" w:cs="等线"/>
          <w:color w:val="auto"/>
        </w:rPr>
        <w:t>第十三章 版本管理与扩展应用</w:t>
      </w:r>
      <w:bookmarkEnd w:id="335"/>
      <w:bookmarkEnd w:id="336"/>
      <w:bookmarkEnd w:id="337"/>
    </w:p>
    <w:p w14:paraId="7E7C370B">
      <w:pPr>
        <w:pStyle w:val="4"/>
        <w:rPr>
          <w:rFonts w:ascii="等线" w:hAnsi="等线" w:eastAsia="等线" w:cs="等线"/>
          <w:color w:val="auto"/>
        </w:rPr>
      </w:pPr>
      <w:bookmarkStart w:id="339" w:name="_Toc8740"/>
      <w:bookmarkStart w:id="340" w:name="_Toc224311491"/>
      <w:bookmarkStart w:id="341" w:name="_Toc32398"/>
      <w:bookmarkStart w:id="342" w:name="版本管理"/>
      <w:r>
        <w:rPr>
          <w:rFonts w:hint="eastAsia" w:ascii="等线" w:hAnsi="等线" w:eastAsia="等线" w:cs="等线"/>
          <w:color w:val="auto"/>
        </w:rPr>
        <w:t>13.1 版本管理</w:t>
      </w:r>
      <w:bookmarkEnd w:id="339"/>
      <w:bookmarkEnd w:id="340"/>
      <w:bookmarkEnd w:id="341"/>
    </w:p>
    <w:p w14:paraId="7E58AD09">
      <w:pPr>
        <w:pStyle w:val="62"/>
        <w:rPr>
          <w:rFonts w:ascii="等线" w:hAnsi="等线" w:eastAsia="等线" w:cs="等线"/>
          <w:lang w:eastAsia="zh-CN"/>
        </w:rPr>
      </w:pPr>
      <w:r>
        <w:rPr>
          <w:rFonts w:hint="eastAsia" w:ascii="等线" w:hAnsi="等线" w:eastAsia="等线" w:cs="等线"/>
          <w:lang w:eastAsia="zh-CN"/>
        </w:rPr>
        <w:t>AIBV 1.0 采用滚动优化机制，可根据实践反馈、样本积累与实证研究结果形成后续迭代版本，如1.1,1.2等。</w:t>
      </w:r>
    </w:p>
    <w:bookmarkEnd w:id="342"/>
    <w:p w14:paraId="2AF31ED8">
      <w:pPr>
        <w:pStyle w:val="4"/>
        <w:rPr>
          <w:rFonts w:ascii="等线" w:hAnsi="等线" w:eastAsia="等线" w:cs="等线"/>
          <w:color w:val="auto"/>
        </w:rPr>
      </w:pPr>
      <w:bookmarkStart w:id="343" w:name="_Toc4270"/>
      <w:bookmarkStart w:id="344" w:name="_Toc224311492"/>
      <w:bookmarkStart w:id="345" w:name="_Toc3802"/>
      <w:bookmarkStart w:id="346" w:name="国内与国际应用"/>
      <w:r>
        <w:rPr>
          <w:rFonts w:hint="eastAsia" w:ascii="等线" w:hAnsi="等线" w:eastAsia="等线" w:cs="等线"/>
          <w:color w:val="auto"/>
        </w:rPr>
        <w:t>13.2 国内与国际应用</w:t>
      </w:r>
      <w:bookmarkEnd w:id="343"/>
      <w:bookmarkEnd w:id="344"/>
      <w:bookmarkEnd w:id="345"/>
    </w:p>
    <w:p w14:paraId="4BF2FF96">
      <w:pPr>
        <w:pStyle w:val="62"/>
        <w:rPr>
          <w:rFonts w:ascii="等线" w:hAnsi="等线" w:eastAsia="等线" w:cs="等线"/>
          <w:lang w:eastAsia="zh-CN"/>
        </w:rPr>
      </w:pPr>
      <w:r>
        <w:rPr>
          <w:rFonts w:hint="eastAsia" w:ascii="等线" w:hAnsi="等线" w:eastAsia="等线" w:cs="等线"/>
          <w:lang w:eastAsia="zh-CN"/>
        </w:rPr>
        <w:t>AIBV 当前主要面向中国境内主流模型与中文场景。未来可在合规前提下扩展至多语言环境与海外模型评测，形成 AIBV-Global 版本。</w:t>
      </w:r>
    </w:p>
    <w:bookmarkEnd w:id="346"/>
    <w:p w14:paraId="44440365">
      <w:pPr>
        <w:pStyle w:val="4"/>
        <w:rPr>
          <w:rFonts w:ascii="等线" w:hAnsi="等线" w:eastAsia="等线" w:cs="等线"/>
          <w:color w:val="auto"/>
        </w:rPr>
      </w:pPr>
      <w:bookmarkStart w:id="347" w:name="_Toc17804"/>
      <w:bookmarkStart w:id="348" w:name="_Toc224311493"/>
      <w:bookmarkStart w:id="349" w:name="_Toc16513"/>
      <w:bookmarkStart w:id="350" w:name="实施细则"/>
      <w:r>
        <w:rPr>
          <w:rFonts w:hint="eastAsia" w:ascii="等线" w:hAnsi="等线" w:eastAsia="等线" w:cs="等线"/>
          <w:color w:val="auto"/>
        </w:rPr>
        <w:t>13.3 实施细则</w:t>
      </w:r>
      <w:bookmarkEnd w:id="347"/>
      <w:bookmarkEnd w:id="348"/>
      <w:bookmarkEnd w:id="349"/>
    </w:p>
    <w:p w14:paraId="004314BC">
      <w:pPr>
        <w:pStyle w:val="62"/>
        <w:rPr>
          <w:rFonts w:ascii="等线" w:hAnsi="等线" w:eastAsia="等线" w:cs="等线"/>
          <w:lang w:eastAsia="zh-CN"/>
        </w:rPr>
      </w:pPr>
      <w:r>
        <w:rPr>
          <w:rFonts w:hint="eastAsia" w:ascii="等线" w:hAnsi="等线" w:eastAsia="等线" w:cs="等线"/>
          <w:lang w:eastAsia="zh-CN"/>
        </w:rPr>
        <w:t>为保障行业可执行性，建议在本体系基础上持续完善以下实施文件：</w:t>
      </w:r>
    </w:p>
    <w:p w14:paraId="287F1803">
      <w:pPr>
        <w:pStyle w:val="63"/>
        <w:numPr>
          <w:ilvl w:val="0"/>
          <w:numId w:val="27"/>
        </w:numPr>
        <w:rPr>
          <w:rFonts w:ascii="等线" w:hAnsi="等线" w:eastAsia="等线" w:cs="等线"/>
        </w:rPr>
      </w:pPr>
      <w:r>
        <w:rPr>
          <w:rFonts w:hint="eastAsia" w:ascii="等线" w:hAnsi="等线" w:eastAsia="等线" w:cs="等线"/>
        </w:rPr>
        <w:t>行业实施细则；</w:t>
      </w:r>
    </w:p>
    <w:p w14:paraId="2EC8E8E9">
      <w:pPr>
        <w:pStyle w:val="63"/>
        <w:numPr>
          <w:ilvl w:val="0"/>
          <w:numId w:val="27"/>
        </w:numPr>
        <w:rPr>
          <w:rFonts w:ascii="等线" w:hAnsi="等线" w:eastAsia="等线" w:cs="等线"/>
        </w:rPr>
      </w:pPr>
      <w:r>
        <w:rPr>
          <w:rFonts w:hint="eastAsia" w:ascii="等线" w:hAnsi="等线" w:eastAsia="等线" w:cs="等线"/>
        </w:rPr>
        <w:t>题库与问题宇宙规范；</w:t>
      </w:r>
    </w:p>
    <w:p w14:paraId="6C9BEEE2">
      <w:pPr>
        <w:pStyle w:val="63"/>
        <w:numPr>
          <w:ilvl w:val="0"/>
          <w:numId w:val="27"/>
        </w:numPr>
        <w:rPr>
          <w:rFonts w:ascii="等线" w:hAnsi="等线" w:eastAsia="等线" w:cs="等线"/>
        </w:rPr>
      </w:pPr>
      <w:r>
        <w:rPr>
          <w:rFonts w:hint="eastAsia" w:ascii="等线" w:hAnsi="等线" w:eastAsia="等线" w:cs="等线"/>
        </w:rPr>
        <w:t>标注与评分手册；</w:t>
      </w:r>
    </w:p>
    <w:p w14:paraId="352855CE">
      <w:pPr>
        <w:pStyle w:val="63"/>
        <w:numPr>
          <w:ilvl w:val="0"/>
          <w:numId w:val="27"/>
        </w:numPr>
        <w:rPr>
          <w:rFonts w:ascii="等线" w:hAnsi="等线" w:eastAsia="等线" w:cs="等线"/>
        </w:rPr>
      </w:pPr>
      <w:r>
        <w:rPr>
          <w:rFonts w:hint="eastAsia" w:ascii="等线" w:hAnsi="等线" w:eastAsia="等线" w:cs="等线"/>
        </w:rPr>
        <w:t>质量控制与申诉流程；</w:t>
      </w:r>
    </w:p>
    <w:p w14:paraId="6770837E">
      <w:pPr>
        <w:pStyle w:val="63"/>
        <w:numPr>
          <w:ilvl w:val="0"/>
          <w:numId w:val="27"/>
        </w:numPr>
        <w:rPr>
          <w:rFonts w:ascii="等线" w:hAnsi="等线" w:eastAsia="等线" w:cs="等线"/>
        </w:rPr>
      </w:pPr>
      <w:r>
        <w:rPr>
          <w:rFonts w:hint="eastAsia" w:ascii="等线" w:hAnsi="等线" w:eastAsia="等线" w:cs="等线"/>
        </w:rPr>
        <w:t>指标校准与实证报告。</w:t>
      </w:r>
    </w:p>
    <w:p w14:paraId="627179CC">
      <w:pPr>
        <w:rPr>
          <w:rFonts w:ascii="等线" w:hAnsi="等线" w:eastAsia="等线" w:cs="等线"/>
        </w:rPr>
      </w:pPr>
    </w:p>
    <w:bookmarkEnd w:id="338"/>
    <w:bookmarkEnd w:id="350"/>
    <w:p w14:paraId="365A7F12">
      <w:pPr>
        <w:pStyle w:val="3"/>
        <w:rPr>
          <w:rFonts w:ascii="等线" w:hAnsi="等线" w:eastAsia="等线" w:cs="等线"/>
          <w:color w:val="auto"/>
        </w:rPr>
      </w:pPr>
      <w:bookmarkStart w:id="351" w:name="_Toc224311494"/>
      <w:bookmarkStart w:id="352" w:name="_Toc6187"/>
      <w:bookmarkStart w:id="353" w:name="_Toc30679"/>
      <w:bookmarkStart w:id="354" w:name="结语"/>
      <w:r>
        <w:rPr>
          <w:rFonts w:hint="eastAsia" w:ascii="等线" w:hAnsi="等线" w:eastAsia="等线" w:cs="等线"/>
          <w:color w:val="auto"/>
        </w:rPr>
        <w:t>结语</w:t>
      </w:r>
      <w:bookmarkEnd w:id="351"/>
      <w:bookmarkEnd w:id="352"/>
      <w:bookmarkEnd w:id="353"/>
    </w:p>
    <w:p w14:paraId="48C9A7F6">
      <w:pPr>
        <w:pStyle w:val="62"/>
        <w:rPr>
          <w:rFonts w:ascii="等线" w:hAnsi="等线" w:eastAsia="等线" w:cs="等线"/>
          <w:lang w:eastAsia="zh-CN"/>
        </w:rPr>
      </w:pPr>
      <w:r>
        <w:rPr>
          <w:rFonts w:hint="eastAsia" w:ascii="等线" w:hAnsi="等线" w:eastAsia="等线" w:cs="等线"/>
          <w:lang w:eastAsia="zh-CN"/>
        </w:rPr>
        <w:t>AIBV 旨在回答一个 AI 时代的新问题：当用户越来越多地通过 AI 认识品牌、比较品牌和选择品牌时，品牌在 AI 语义空间中的真实存在状态应如何被衡量。</w:t>
      </w:r>
    </w:p>
    <w:p w14:paraId="7B3D5AB6">
      <w:pPr>
        <w:pStyle w:val="10"/>
        <w:rPr>
          <w:rFonts w:ascii="等线" w:hAnsi="等线" w:eastAsia="等线" w:cs="等线"/>
          <w:lang w:eastAsia="zh-CN"/>
        </w:rPr>
      </w:pPr>
      <w:r>
        <w:rPr>
          <w:rFonts w:hint="eastAsia" w:ascii="等线" w:hAnsi="等线" w:eastAsia="等线" w:cs="等线"/>
          <w:lang w:eastAsia="zh-CN"/>
        </w:rPr>
        <w:t>本体系不是对传统品牌理论的替代，而是对品牌评价框架在 AI 时代的重要补充。它所衡量的，不只是品牌是否“被提到”，更是品牌是否被准确理解、优先展示、合理推荐、可信引用、可执行承接，并在长期运行中保持稳定与安全。</w:t>
      </w:r>
    </w:p>
    <w:p w14:paraId="1E469A18">
      <w:pPr>
        <w:pStyle w:val="10"/>
        <w:rPr>
          <w:rFonts w:hint="eastAsia" w:ascii="等线" w:hAnsi="等线" w:eastAsia="等线" w:cs="等线"/>
          <w:lang w:eastAsia="zh-CN"/>
        </w:rPr>
      </w:pPr>
      <w:r>
        <w:rPr>
          <w:rFonts w:hint="eastAsia" w:ascii="等线" w:hAnsi="等线" w:eastAsia="等线" w:cs="等线"/>
          <w:lang w:eastAsia="zh-CN"/>
        </w:rPr>
        <w:t>随着 AI 应用的持续深入，AIBV 将持续迭代，推动形成更加成熟的评价方法、实施规范和行业标准，为企业的 AI 品牌建设、GEO 优化与品牌治理提供长期的方法论基础。</w:t>
      </w:r>
      <w:bookmarkEnd w:id="354"/>
    </w:p>
    <w:p w14:paraId="574113F9">
      <w:pPr>
        <w:pStyle w:val="10"/>
        <w:rPr>
          <w:rFonts w:hint="eastAsia" w:ascii="等线" w:hAnsi="等线" w:eastAsia="等线" w:cs="等线"/>
          <w:lang w:eastAsia="zh-CN"/>
        </w:rPr>
      </w:pPr>
    </w:p>
    <w:p w14:paraId="6463833A">
      <w:pPr>
        <w:pStyle w:val="10"/>
        <w:rPr>
          <w:rFonts w:hint="eastAsia" w:ascii="等线" w:hAnsi="等线" w:eastAsia="等线" w:cs="等线"/>
          <w:lang w:eastAsia="zh-CN"/>
        </w:rPr>
      </w:pPr>
    </w:p>
    <w:p w14:paraId="646CB0F9">
      <w:pPr>
        <w:pStyle w:val="10"/>
        <w:rPr>
          <w:rFonts w:hint="eastAsia" w:ascii="等线" w:hAnsi="等线" w:eastAsia="等线" w:cs="等线"/>
          <w:lang w:eastAsia="zh-CN"/>
        </w:rPr>
      </w:pPr>
    </w:p>
    <w:sectPr>
      <w:headerReference r:id="rId3" w:type="default"/>
      <w:footerReference r:id="rId4" w:type="default"/>
      <w:pgSz w:w="11906" w:h="16838"/>
      <w:pgMar w:top="1440" w:right="1440" w:bottom="1440" w:left="1440" w:header="708" w:footer="708"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A787B1F-9AD2-42B5-9775-02F96409C7BB}"/>
  </w:font>
  <w:font w:name="黑体">
    <w:panose1 w:val="02010609060101010101"/>
    <w:charset w:val="86"/>
    <w:family w:val="auto"/>
    <w:pitch w:val="default"/>
    <w:sig w:usb0="800002BF" w:usb1="38CF7CFA" w:usb2="00000016" w:usb3="00000000" w:csb0="00040001" w:csb1="00000000"/>
    <w:embedRegular r:id="rId2" w:fontKey="{12501A26-4E66-44E1-977A-15F46F6DC7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3" w:fontKey="{F90BD8CF-12A6-44C3-B5CD-DC17D8BD0E9B}"/>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embedRegular r:id="rId4" w:fontKey="{65C9A528-10F2-488C-AE97-EC4EF17EF431}"/>
  </w:font>
  <w:font w:name="方正姚体">
    <w:panose1 w:val="02010601030101010101"/>
    <w:charset w:val="86"/>
    <w:family w:val="auto"/>
    <w:pitch w:val="default"/>
    <w:sig w:usb0="00000003" w:usb1="080E0000" w:usb2="00000000" w:usb3="00000000" w:csb0="00040000" w:csb1="00000000"/>
  </w:font>
  <w:font w:name="方正黑体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133D0">
    <w:pPr>
      <w:pStyle w:val="14"/>
    </w:pPr>
    <w:r>
      <mc:AlternateContent>
        <mc:Choice Requires="wps">
          <w:drawing>
            <wp:anchor distT="0" distB="0" distL="114300" distR="114300" simplePos="0" relativeHeight="251659264" behindDoc="0" locked="0" layoutInCell="1" allowOverlap="1">
              <wp:simplePos x="0" y="0"/>
              <wp:positionH relativeFrom="margin">
                <wp:posOffset>5207635</wp:posOffset>
              </wp:positionH>
              <wp:positionV relativeFrom="paragraph">
                <wp:posOffset>-203835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4697F">
                          <w:pPr>
                            <w:pStyle w:val="14"/>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10.05pt;margin-top:-16.05pt;height:144pt;width:144pt;mso-position-horizontal-relative:margin;mso-wrap-style:none;z-index:251659264;mso-width-relative:page;mso-height-relative:page;" filled="f" stroked="f" coordsize="21600,21600" o:gfxdata="UEsDBAoAAAAAAIdO4kAAAAAAAAAAAAAAAAAEAAAAZHJzL1BLAwQUAAAACACHTuJAah/olNgAAAAM&#10;AQAADwAAAGRycy9kb3ducmV2LnhtbE2PwU7DMAyG70i8Q2QkblvSjqFSmk5iohyRWDlwzBrTFhKn&#10;SrKuvD3ZCW6/5U+/P1e7xRo2ow+jIwnZWgBD6pweqZfw3jarAliIirQyjlDCDwbY1ddXlSq1O9Mb&#10;zofYs1RCoVQShhinkvPQDWhVWLsJKe0+nbcqptH3XHt1TuXW8FyIe27VSOnCoCbcD9h9H05Wwr5p&#10;Wz9j8OYDX5rN1+vTHT4vUt7eZOIRWMQl/sFw0U/qUCenozuRDsxIKHKRJVTCapOncCEyUaR0lJBv&#10;tw/A64r/f6L+BVBLAwQUAAAACACHTuJAyt3XDCoCAABX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AU6AZJo&#10;plDxy/dvlx+/Lj+/EpxBoMb6OeJ2FpGhfWtaBA/nHoeRd1s6Fb9gROAH1vkqr2gD4fHSbDqbjeHi&#10;8A0b4GeP163z4Z0wikQjpw71S7Ky09aHLnQIidm02dRSphpKTZqc3rx+M04Xrh6AS40ckUT32GiF&#10;dt/2zPamOIOYM11veMs3NZJvmQ8PzKEZ8GCMS7jHUkqDJKa3KKmM+/Kv8xiPGsFLSYPmyqnGLFEi&#10;32vUDoBhMNxg7AdDH9WdQbdOMIaWJxMXXJCDWTqjPmOGVjEHXExzZMppGMy70DU4ZpCL1SoFodss&#10;C1u9szxCR/G8XR0DBEy6RlE6JXqt0G+pMv1sxIb+c5+iHv8H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H+iU2AAAAAwBAAAPAAAAAAAAAAEAIAAAACIAAABkcnMvZG93bnJldi54bWxQSwECFAAU&#10;AAAACACHTuJAyt3XDCoCAABXBAAADgAAAAAAAAABACAAAAAnAQAAZHJzL2Uyb0RvYy54bWxQSwUG&#10;AAAAAAYABgBZAQAAwwUAAAAA&#10;">
              <v:fill on="f" focussize="0,0"/>
              <v:stroke on="f" weight="0.5pt"/>
              <v:imagedata o:title=""/>
              <o:lock v:ext="edit" aspectratio="f"/>
              <v:textbox inset="0mm,0mm,0mm,0mm" style="mso-fit-shape-to-text:t;">
                <w:txbxContent>
                  <w:p w14:paraId="2E74697F">
                    <w:pPr>
                      <w:pStyle w:val="14"/>
                    </w:pPr>
                    <w:r>
                      <w:rPr>
                        <w:rFonts w:hint="eastAsia"/>
                      </w:rPr>
                      <w:t xml:space="preserve">- </w:t>
                    </w:r>
                    <w:r>
                      <w:fldChar w:fldCharType="begin"/>
                    </w:r>
                    <w:r>
                      <w:instrText xml:space="preserve"> PAGE  \* MERGEFORMAT </w:instrText>
                    </w:r>
                    <w:r>
                      <w:fldChar w:fldCharType="separate"/>
                    </w:r>
                    <w:r>
                      <w:t>1</w:t>
                    </w:r>
                    <w:r>
                      <w:fldChar w:fldCharType="end"/>
                    </w:r>
                    <w:r>
                      <w:rPr>
                        <w:rFonts w:hint="eastAsia"/>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48E38">
    <w:pPr>
      <w:pStyle w:val="15"/>
      <w:jc w:val="left"/>
      <w:rPr>
        <w:rFonts w:hint="eastAsia" w:ascii="黑体" w:hAnsi="黑体" w:eastAsia="黑体" w:cs="黑体"/>
        <w:b w:val="0"/>
        <w:bCs w:val="0"/>
        <w:sz w:val="16"/>
        <w:szCs w:val="16"/>
      </w:rPr>
    </w:pPr>
    <w:r>
      <w:rPr>
        <w:rFonts w:hint="eastAsia" w:ascii="黑体" w:hAnsi="黑体" w:eastAsia="黑体" w:cs="黑体"/>
        <w:b w:val="0"/>
        <w:bCs w:val="0"/>
        <w:sz w:val="16"/>
        <w:szCs w:val="16"/>
      </w:rPr>
      <w:t>中国AI品牌资产发展白皮书（2026）：可信知识网络、行业规范与AI品牌资产评估体系</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AED1FD"/>
    <w:multiLevelType w:val="singleLevel"/>
    <w:tmpl w:val="C3AED1FD"/>
    <w:lvl w:ilvl="0" w:tentative="0">
      <w:start w:val="1"/>
      <w:numFmt w:val="decimal"/>
      <w:suff w:val="nothing"/>
      <w:lvlText w:val="%1."/>
      <w:lvlJc w:val="left"/>
      <w:rPr>
        <w:rFonts w:ascii="Arial" w:hAnsi="Arial" w:eastAsia="等线" w:cs="Arial"/>
      </w:rPr>
    </w:lvl>
  </w:abstractNum>
  <w:abstractNum w:abstractNumId="1">
    <w:nsid w:val="0000A991"/>
    <w:multiLevelType w:val="multilevel"/>
    <w:tmpl w:val="0000A991"/>
    <w:lvl w:ilvl="0" w:tentative="0">
      <w:start w:val="0"/>
      <w:numFmt w:val="bullet"/>
      <w:lvlText w:val=""/>
      <w:lvlJc w:val="left"/>
      <w:pPr>
        <w:ind w:left="720" w:hanging="360"/>
      </w:pPr>
      <w:rPr>
        <w:rFonts w:hint="default" w:ascii="Symbol" w:hAnsi="Symbol" w:cs="Symbol"/>
      </w:rPr>
    </w:lvl>
    <w:lvl w:ilvl="1" w:tentative="0">
      <w:start w:val="0"/>
      <w:numFmt w:val="bullet"/>
      <w:lvlText w:val="o"/>
      <w:lvlJc w:val="left"/>
      <w:pPr>
        <w:ind w:left="1440" w:hanging="360"/>
      </w:pPr>
      <w:rPr>
        <w:rFonts w:hint="default" w:ascii="Courier New" w:hAnsi="Courier New" w:cs="Courier New"/>
      </w:rPr>
    </w:lvl>
    <w:lvl w:ilvl="2" w:tentative="0">
      <w:start w:val="0"/>
      <w:numFmt w:val="bullet"/>
      <w:lvlText w:val=""/>
      <w:lvlJc w:val="left"/>
      <w:pPr>
        <w:ind w:left="2160" w:hanging="360"/>
      </w:pPr>
      <w:rPr>
        <w:rFonts w:hint="default" w:ascii="Wingdings" w:hAnsi="Wingdings" w:cs="Wingdings"/>
      </w:rPr>
    </w:lvl>
    <w:lvl w:ilvl="3" w:tentative="0">
      <w:start w:val="0"/>
      <w:numFmt w:val="bullet"/>
      <w:lvlText w:val=""/>
      <w:lvlJc w:val="left"/>
      <w:pPr>
        <w:ind w:left="2880" w:hanging="360"/>
      </w:pPr>
      <w:rPr>
        <w:rFonts w:hint="default" w:ascii="Symbol" w:hAnsi="Symbol" w:cs="Symbol"/>
      </w:rPr>
    </w:lvl>
    <w:lvl w:ilvl="4" w:tentative="0">
      <w:start w:val="0"/>
      <w:numFmt w:val="bullet"/>
      <w:lvlText w:val="o"/>
      <w:lvlJc w:val="left"/>
      <w:pPr>
        <w:ind w:left="3600" w:hanging="360"/>
      </w:pPr>
      <w:rPr>
        <w:rFonts w:hint="default" w:ascii="Courier New" w:hAnsi="Courier New" w:cs="Courier New"/>
      </w:rPr>
    </w:lvl>
    <w:lvl w:ilvl="5" w:tentative="0">
      <w:start w:val="0"/>
      <w:numFmt w:val="bullet"/>
      <w:lvlText w:val=""/>
      <w:lvlJc w:val="left"/>
      <w:pPr>
        <w:ind w:left="4320" w:hanging="360"/>
      </w:pPr>
      <w:rPr>
        <w:rFonts w:hint="default" w:ascii="Wingdings" w:hAnsi="Wingdings" w:cs="Wingdings"/>
      </w:rPr>
    </w:lvl>
    <w:lvl w:ilvl="6" w:tentative="0">
      <w:start w:val="0"/>
      <w:numFmt w:val="bullet"/>
      <w:lvlText w:val=""/>
      <w:lvlJc w:val="left"/>
      <w:pPr>
        <w:ind w:left="5040" w:hanging="360"/>
      </w:pPr>
      <w:rPr>
        <w:rFonts w:hint="default" w:ascii="Symbol" w:hAnsi="Symbol" w:cs="Symbol"/>
      </w:rPr>
    </w:lvl>
    <w:lvl w:ilvl="7" w:tentative="0">
      <w:start w:val="0"/>
      <w:numFmt w:val="bullet"/>
      <w:lvlText w:val="o"/>
      <w:lvlJc w:val="left"/>
      <w:pPr>
        <w:ind w:left="5760" w:hanging="360"/>
      </w:pPr>
      <w:rPr>
        <w:rFonts w:hint="default" w:ascii="Courier New" w:hAnsi="Courier New" w:cs="Courier New"/>
      </w:rPr>
    </w:lvl>
    <w:lvl w:ilvl="8" w:tentative="0">
      <w:start w:val="0"/>
      <w:numFmt w:val="bullet"/>
      <w:lvlText w:val=""/>
      <w:lvlJc w:val="left"/>
      <w:pPr>
        <w:ind w:left="6480" w:hanging="360"/>
      </w:pPr>
      <w:rPr>
        <w:rFonts w:hint="default" w:ascii="Wingdings" w:hAnsi="Wingdings" w:cs="Wingdings"/>
      </w:rPr>
    </w:lvl>
  </w:abstractNum>
  <w:abstractNum w:abstractNumId="2">
    <w:nsid w:val="00A99411"/>
    <w:multiLevelType w:val="multilevel"/>
    <w:tmpl w:val="00A99411"/>
    <w:lvl w:ilvl="0" w:tentative="0">
      <w:start w:val="1"/>
      <w:numFmt w:val="decimal"/>
      <w:lvlText w:val="%1."/>
      <w:lvlJc w:val="left"/>
      <w:pPr>
        <w:ind w:left="720" w:hanging="360"/>
      </w:pPr>
    </w:lvl>
    <w:lvl w:ilvl="1" w:tentative="0">
      <w:start w:val="1"/>
      <w:numFmt w:val="decimal"/>
      <w:lvlText w:val="%2."/>
      <w:lvlJc w:val="left"/>
      <w:pPr>
        <w:ind w:left="1440" w:hanging="360"/>
      </w:pPr>
    </w:lvl>
    <w:lvl w:ilvl="2" w:tentative="0">
      <w:start w:val="1"/>
      <w:numFmt w:val="decimal"/>
      <w:lvlText w:val="%3."/>
      <w:lvlJc w:val="left"/>
      <w:pPr>
        <w:ind w:left="2160" w:hanging="360"/>
      </w:pPr>
    </w:lvl>
    <w:lvl w:ilvl="3" w:tentative="0">
      <w:start w:val="1"/>
      <w:numFmt w:val="decimal"/>
      <w:lvlText w:val="%4."/>
      <w:lvlJc w:val="left"/>
      <w:pPr>
        <w:ind w:left="2880" w:hanging="360"/>
      </w:pPr>
    </w:lvl>
    <w:lvl w:ilvl="4" w:tentative="0">
      <w:start w:val="1"/>
      <w:numFmt w:val="decimal"/>
      <w:lvlText w:val="%5."/>
      <w:lvlJc w:val="left"/>
      <w:pPr>
        <w:ind w:left="3600" w:hanging="360"/>
      </w:pPr>
    </w:lvl>
    <w:lvl w:ilvl="5" w:tentative="0">
      <w:start w:val="1"/>
      <w:numFmt w:val="decimal"/>
      <w:lvlText w:val="%6."/>
      <w:lvlJc w:val="left"/>
      <w:pPr>
        <w:ind w:left="4320" w:hanging="360"/>
      </w:pPr>
    </w:lvl>
    <w:lvl w:ilvl="6" w:tentative="0">
      <w:start w:val="1"/>
      <w:numFmt w:val="decimal"/>
      <w:lvlText w:val="%7."/>
      <w:lvlJc w:val="left"/>
      <w:pPr>
        <w:ind w:left="5040" w:hanging="360"/>
      </w:pPr>
    </w:lvl>
    <w:lvl w:ilvl="7" w:tentative="0">
      <w:start w:val="1"/>
      <w:numFmt w:val="decimal"/>
      <w:lvlText w:val="%8."/>
      <w:lvlJc w:val="left"/>
      <w:pPr>
        <w:ind w:left="5760" w:hanging="360"/>
      </w:pPr>
    </w:lvl>
    <w:lvl w:ilvl="8" w:tentative="0">
      <w:start w:val="1"/>
      <w:numFmt w:val="decimal"/>
      <w:lvlText w:val="%9."/>
      <w:lvlJc w:val="left"/>
      <w:pPr>
        <w:ind w:left="6480" w:hanging="360"/>
      </w:pPr>
    </w:lvl>
  </w:abstractNum>
  <w:abstractNum w:abstractNumId="3">
    <w:nsid w:val="68740A21"/>
    <w:multiLevelType w:val="multilevel"/>
    <w:tmpl w:val="68740A21"/>
    <w:lvl w:ilvl="0" w:tentative="0">
      <w:start w:val="1"/>
      <w:numFmt w:val="bullet"/>
      <w:lvlText w:val="•"/>
      <w:lvlJc w:val="left"/>
      <w:pPr>
        <w:ind w:left="720" w:hanging="360"/>
      </w:pPr>
    </w:lvl>
    <w:lvl w:ilvl="1" w:tentative="0">
      <w:start w:val="1"/>
      <w:numFmt w:val="bullet"/>
      <w:lvlText w:val="◦"/>
      <w:lvlJc w:val="left"/>
      <w:pPr>
        <w:ind w:left="1440" w:hanging="360"/>
      </w:pPr>
    </w:lvl>
    <w:lvl w:ilvl="2" w:tentative="0">
      <w:start w:val="1"/>
      <w:numFmt w:val="bullet"/>
      <w:lvlText w:val="•"/>
      <w:lvlJc w:val="left"/>
      <w:pPr>
        <w:ind w:left="2160" w:hanging="360"/>
      </w:pPr>
    </w:lvl>
    <w:lvl w:ilvl="3" w:tentative="0">
      <w:start w:val="1"/>
      <w:numFmt w:val="bullet"/>
      <w:lvlText w:val="◦"/>
      <w:lvlJc w:val="left"/>
      <w:pPr>
        <w:ind w:left="2880" w:hanging="360"/>
      </w:pPr>
    </w:lvl>
    <w:lvl w:ilvl="4" w:tentative="0">
      <w:start w:val="1"/>
      <w:numFmt w:val="bullet"/>
      <w:lvlText w:val="•"/>
      <w:lvlJc w:val="left"/>
      <w:pPr>
        <w:ind w:left="3600" w:hanging="360"/>
      </w:pPr>
    </w:lvl>
    <w:lvl w:ilvl="5" w:tentative="0">
      <w:start w:val="1"/>
      <w:numFmt w:val="bullet"/>
      <w:lvlText w:val="◦"/>
      <w:lvlJc w:val="left"/>
      <w:pPr>
        <w:ind w:left="4320" w:hanging="360"/>
      </w:pPr>
    </w:lvl>
    <w:lvl w:ilvl="6" w:tentative="0">
      <w:start w:val="1"/>
      <w:numFmt w:val="bullet"/>
      <w:lvlText w:val="•"/>
      <w:lvlJc w:val="left"/>
      <w:pPr>
        <w:ind w:left="5040" w:hanging="360"/>
      </w:pPr>
    </w:lvl>
    <w:lvl w:ilvl="7" w:tentative="0">
      <w:start w:val="0"/>
      <w:numFmt w:val="decimal"/>
      <w:lvlText w:val=""/>
      <w:lvlJc w:val="left"/>
    </w:lvl>
    <w:lvl w:ilvl="8" w:tentative="0">
      <w:start w:val="0"/>
      <w:numFmt w:val="decimal"/>
      <w:lvlText w:val=""/>
      <w:lvlJc w:val="left"/>
    </w:lvl>
  </w:abstractNum>
  <w:num w:numId="1">
    <w:abstractNumId w:val="3"/>
    <w:lvlOverride w:ilvl="0">
      <w:startOverride w:val="1"/>
    </w:lvlOverride>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330"/>
    <w:rsid w:val="00001B72"/>
    <w:rsid w:val="00016EBC"/>
    <w:rsid w:val="00030BA0"/>
    <w:rsid w:val="000A6ACE"/>
    <w:rsid w:val="000E20B6"/>
    <w:rsid w:val="00106094"/>
    <w:rsid w:val="00113767"/>
    <w:rsid w:val="00127E1C"/>
    <w:rsid w:val="0015007F"/>
    <w:rsid w:val="001639BB"/>
    <w:rsid w:val="0016610F"/>
    <w:rsid w:val="00166532"/>
    <w:rsid w:val="001E6630"/>
    <w:rsid w:val="001F2A92"/>
    <w:rsid w:val="001F4198"/>
    <w:rsid w:val="00233BD8"/>
    <w:rsid w:val="00257731"/>
    <w:rsid w:val="002D0F49"/>
    <w:rsid w:val="00344628"/>
    <w:rsid w:val="003842FA"/>
    <w:rsid w:val="00384439"/>
    <w:rsid w:val="003A5602"/>
    <w:rsid w:val="003A5BDB"/>
    <w:rsid w:val="0042203B"/>
    <w:rsid w:val="00427CBB"/>
    <w:rsid w:val="00435661"/>
    <w:rsid w:val="0044623C"/>
    <w:rsid w:val="0045596F"/>
    <w:rsid w:val="00472E07"/>
    <w:rsid w:val="004B7330"/>
    <w:rsid w:val="004E79C5"/>
    <w:rsid w:val="00516765"/>
    <w:rsid w:val="005A6E62"/>
    <w:rsid w:val="006009AA"/>
    <w:rsid w:val="006B4F1E"/>
    <w:rsid w:val="006D3EEC"/>
    <w:rsid w:val="00713788"/>
    <w:rsid w:val="0071652E"/>
    <w:rsid w:val="00721AD6"/>
    <w:rsid w:val="00761101"/>
    <w:rsid w:val="00767F71"/>
    <w:rsid w:val="00772732"/>
    <w:rsid w:val="007B3AE7"/>
    <w:rsid w:val="007B617A"/>
    <w:rsid w:val="007E4D29"/>
    <w:rsid w:val="007F6E09"/>
    <w:rsid w:val="008441C7"/>
    <w:rsid w:val="008557E0"/>
    <w:rsid w:val="0089552B"/>
    <w:rsid w:val="008A34BA"/>
    <w:rsid w:val="008A5528"/>
    <w:rsid w:val="008E1D9A"/>
    <w:rsid w:val="00961867"/>
    <w:rsid w:val="009674C3"/>
    <w:rsid w:val="009A64FF"/>
    <w:rsid w:val="009D4755"/>
    <w:rsid w:val="009E0163"/>
    <w:rsid w:val="00A40F50"/>
    <w:rsid w:val="00A67531"/>
    <w:rsid w:val="00A92FFF"/>
    <w:rsid w:val="00AA33AA"/>
    <w:rsid w:val="00AA6216"/>
    <w:rsid w:val="00AD3AF7"/>
    <w:rsid w:val="00B66FBF"/>
    <w:rsid w:val="00B95FB2"/>
    <w:rsid w:val="00BB0CD4"/>
    <w:rsid w:val="00BB5EB6"/>
    <w:rsid w:val="00BD2F91"/>
    <w:rsid w:val="00C40C85"/>
    <w:rsid w:val="00C521AF"/>
    <w:rsid w:val="00C8552C"/>
    <w:rsid w:val="00CB1315"/>
    <w:rsid w:val="00CE2C31"/>
    <w:rsid w:val="00D002B6"/>
    <w:rsid w:val="00D713C2"/>
    <w:rsid w:val="00D93316"/>
    <w:rsid w:val="00E23E4A"/>
    <w:rsid w:val="00E77E96"/>
    <w:rsid w:val="00E933AC"/>
    <w:rsid w:val="00E94568"/>
    <w:rsid w:val="00F00A10"/>
    <w:rsid w:val="00F23D6D"/>
    <w:rsid w:val="00F54ACA"/>
    <w:rsid w:val="00F647D9"/>
    <w:rsid w:val="00F86DA4"/>
    <w:rsid w:val="00F979BF"/>
    <w:rsid w:val="00FA6EC1"/>
    <w:rsid w:val="00FC4A23"/>
    <w:rsid w:val="00FE1E79"/>
    <w:rsid w:val="00FF15D1"/>
    <w:rsid w:val="022E056D"/>
    <w:rsid w:val="32416F37"/>
    <w:rsid w:val="3A1357D6"/>
    <w:rsid w:val="434D7530"/>
    <w:rsid w:val="443261F1"/>
    <w:rsid w:val="4D645CFD"/>
    <w:rsid w:val="694341E3"/>
    <w:rsid w:val="71F47FB0"/>
    <w:rsid w:val="77E75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cs="Times New Roman" w:eastAsiaTheme="minorEastAsia"/>
      <w:sz w:val="24"/>
      <w:szCs w:val="24"/>
      <w:lang w:val="en-US" w:eastAsia="zh-CN" w:bidi="ar-SA"/>
    </w:rPr>
  </w:style>
  <w:style w:type="paragraph" w:styleId="2">
    <w:name w:val="heading 1"/>
    <w:qFormat/>
    <w:uiPriority w:val="9"/>
    <w:pPr>
      <w:outlineLvl w:val="0"/>
    </w:pPr>
    <w:rPr>
      <w:rFonts w:ascii="Times New Roman" w:hAnsi="Times New Roman" w:cs="Times New Roman" w:eastAsiaTheme="minorEastAsia"/>
      <w:color w:val="2E74B5"/>
      <w:sz w:val="32"/>
      <w:szCs w:val="32"/>
      <w:lang w:val="en-US" w:eastAsia="zh-CN" w:bidi="ar-SA"/>
    </w:rPr>
  </w:style>
  <w:style w:type="paragraph" w:styleId="3">
    <w:name w:val="heading 2"/>
    <w:unhideWhenUsed/>
    <w:qFormat/>
    <w:uiPriority w:val="9"/>
    <w:pPr>
      <w:outlineLvl w:val="1"/>
    </w:pPr>
    <w:rPr>
      <w:rFonts w:ascii="Times New Roman" w:hAnsi="Times New Roman" w:cs="Times New Roman" w:eastAsiaTheme="minorEastAsia"/>
      <w:color w:val="2E74B5"/>
      <w:sz w:val="26"/>
      <w:szCs w:val="26"/>
      <w:lang w:val="en-US" w:eastAsia="zh-CN" w:bidi="ar-SA"/>
    </w:rPr>
  </w:style>
  <w:style w:type="paragraph" w:styleId="4">
    <w:name w:val="heading 3"/>
    <w:unhideWhenUsed/>
    <w:qFormat/>
    <w:uiPriority w:val="9"/>
    <w:pPr>
      <w:outlineLvl w:val="2"/>
    </w:pPr>
    <w:rPr>
      <w:rFonts w:ascii="Times New Roman" w:hAnsi="Times New Roman" w:cs="Times New Roman" w:eastAsiaTheme="minorEastAsia"/>
      <w:color w:val="1F4D78"/>
      <w:sz w:val="24"/>
      <w:szCs w:val="24"/>
      <w:lang w:val="en-US" w:eastAsia="zh-CN" w:bidi="ar-SA"/>
    </w:rPr>
  </w:style>
  <w:style w:type="paragraph" w:styleId="5">
    <w:name w:val="heading 4"/>
    <w:semiHidden/>
    <w:unhideWhenUsed/>
    <w:qFormat/>
    <w:uiPriority w:val="9"/>
    <w:pPr>
      <w:outlineLvl w:val="3"/>
    </w:pPr>
    <w:rPr>
      <w:rFonts w:ascii="Times New Roman" w:hAnsi="Times New Roman" w:cs="Times New Roman" w:eastAsiaTheme="minorEastAsia"/>
      <w:i/>
      <w:iCs/>
      <w:color w:val="2E74B5"/>
      <w:sz w:val="24"/>
      <w:szCs w:val="24"/>
      <w:lang w:val="en-US" w:eastAsia="zh-CN" w:bidi="ar-SA"/>
    </w:rPr>
  </w:style>
  <w:style w:type="paragraph" w:styleId="6">
    <w:name w:val="heading 5"/>
    <w:semiHidden/>
    <w:unhideWhenUsed/>
    <w:qFormat/>
    <w:uiPriority w:val="9"/>
    <w:pPr>
      <w:outlineLvl w:val="4"/>
    </w:pPr>
    <w:rPr>
      <w:rFonts w:ascii="Times New Roman" w:hAnsi="Times New Roman" w:cs="Times New Roman" w:eastAsiaTheme="minorEastAsia"/>
      <w:color w:val="2E74B5"/>
      <w:sz w:val="24"/>
      <w:szCs w:val="24"/>
      <w:lang w:val="en-US" w:eastAsia="zh-CN" w:bidi="ar-SA"/>
    </w:rPr>
  </w:style>
  <w:style w:type="paragraph" w:styleId="7">
    <w:name w:val="heading 6"/>
    <w:semiHidden/>
    <w:unhideWhenUsed/>
    <w:qFormat/>
    <w:uiPriority w:val="9"/>
    <w:pPr>
      <w:outlineLvl w:val="5"/>
    </w:pPr>
    <w:rPr>
      <w:rFonts w:ascii="Times New Roman" w:hAnsi="Times New Roman" w:cs="Times New Roman" w:eastAsiaTheme="minorEastAsia"/>
      <w:color w:val="1F4D78"/>
      <w:sz w:val="24"/>
      <w:szCs w:val="24"/>
      <w:lang w:val="en-US" w:eastAsia="zh-CN" w:bidi="ar-SA"/>
    </w:rPr>
  </w:style>
  <w:style w:type="character" w:default="1" w:styleId="25">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1440"/>
    </w:pPr>
    <w:rPr>
      <w:rFonts w:asciiTheme="minorHAnsi" w:eastAsiaTheme="minorHAnsi"/>
      <w:sz w:val="18"/>
      <w:szCs w:val="18"/>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Body Text"/>
    <w:basedOn w:val="1"/>
    <w:link w:val="61"/>
    <w:qFormat/>
    <w:uiPriority w:val="0"/>
    <w:pPr>
      <w:widowControl/>
      <w:spacing w:before="180" w:after="180"/>
    </w:pPr>
    <w:rPr>
      <w:rFonts w:asciiTheme="minorHAnsi" w:hAnsiTheme="minorHAnsi" w:eastAsiaTheme="minorHAnsi" w:cstheme="minorBidi"/>
      <w:lang w:eastAsia="en-US"/>
    </w:rPr>
  </w:style>
  <w:style w:type="paragraph" w:styleId="11">
    <w:name w:val="toc 5"/>
    <w:basedOn w:val="1"/>
    <w:next w:val="1"/>
    <w:autoRedefine/>
    <w:unhideWhenUsed/>
    <w:qFormat/>
    <w:uiPriority w:val="39"/>
    <w:pPr>
      <w:ind w:left="960"/>
    </w:pPr>
    <w:rPr>
      <w:rFonts w:asciiTheme="minorHAnsi" w:eastAsiaTheme="minorHAnsi"/>
      <w:sz w:val="18"/>
      <w:szCs w:val="18"/>
    </w:rPr>
  </w:style>
  <w:style w:type="paragraph" w:styleId="12">
    <w:name w:val="toc 3"/>
    <w:basedOn w:val="1"/>
    <w:next w:val="1"/>
    <w:autoRedefine/>
    <w:unhideWhenUsed/>
    <w:qFormat/>
    <w:uiPriority w:val="39"/>
    <w:pPr>
      <w:tabs>
        <w:tab w:val="right" w:leader="dot" w:pos="9016"/>
      </w:tabs>
      <w:ind w:left="480"/>
    </w:pPr>
    <w:rPr>
      <w:rFonts w:asciiTheme="minorHAnsi" w:eastAsiaTheme="minorHAnsi"/>
      <w:i/>
      <w:iCs/>
      <w:sz w:val="20"/>
      <w:szCs w:val="20"/>
    </w:rPr>
  </w:style>
  <w:style w:type="paragraph" w:styleId="13">
    <w:name w:val="toc 8"/>
    <w:basedOn w:val="1"/>
    <w:next w:val="1"/>
    <w:autoRedefine/>
    <w:unhideWhenUsed/>
    <w:qFormat/>
    <w:uiPriority w:val="39"/>
    <w:pPr>
      <w:ind w:left="1680"/>
    </w:pPr>
    <w:rPr>
      <w:rFonts w:asciiTheme="minorHAnsi" w:eastAsiaTheme="minorHAnsi"/>
      <w:sz w:val="18"/>
      <w:szCs w:val="18"/>
    </w:rPr>
  </w:style>
  <w:style w:type="paragraph" w:styleId="14">
    <w:name w:val="footer"/>
    <w:basedOn w:val="1"/>
    <w:link w:val="60"/>
    <w:unhideWhenUsed/>
    <w:qFormat/>
    <w:uiPriority w:val="99"/>
    <w:pPr>
      <w:tabs>
        <w:tab w:val="center" w:pos="4153"/>
        <w:tab w:val="right" w:pos="8306"/>
      </w:tabs>
      <w:snapToGrid w:val="0"/>
    </w:pPr>
    <w:rPr>
      <w:sz w:val="18"/>
      <w:szCs w:val="18"/>
    </w:rPr>
  </w:style>
  <w:style w:type="paragraph" w:styleId="15">
    <w:name w:val="header"/>
    <w:basedOn w:val="1"/>
    <w:link w:val="59"/>
    <w:unhideWhenUsed/>
    <w:qFormat/>
    <w:uiPriority w:val="99"/>
    <w:pPr>
      <w:tabs>
        <w:tab w:val="center" w:pos="4153"/>
        <w:tab w:val="right" w:pos="8306"/>
      </w:tabs>
      <w:snapToGrid w:val="0"/>
      <w:jc w:val="center"/>
    </w:pPr>
    <w:rPr>
      <w:sz w:val="18"/>
      <w:szCs w:val="18"/>
    </w:rPr>
  </w:style>
  <w:style w:type="paragraph" w:styleId="16">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17">
    <w:name w:val="toc 4"/>
    <w:basedOn w:val="1"/>
    <w:next w:val="1"/>
    <w:autoRedefine/>
    <w:unhideWhenUsed/>
    <w:qFormat/>
    <w:uiPriority w:val="39"/>
    <w:pPr>
      <w:ind w:left="720"/>
    </w:pPr>
    <w:rPr>
      <w:rFonts w:asciiTheme="minorHAnsi" w:eastAsiaTheme="minorHAnsi"/>
      <w:sz w:val="18"/>
      <w:szCs w:val="18"/>
    </w:rPr>
  </w:style>
  <w:style w:type="paragraph" w:styleId="18">
    <w:name w:val="footnote text"/>
    <w:link w:val="32"/>
    <w:semiHidden/>
    <w:unhideWhenUsed/>
    <w:qFormat/>
    <w:uiPriority w:val="99"/>
    <w:rPr>
      <w:rFonts w:ascii="Times New Roman" w:hAnsi="Times New Roman" w:cs="Times New Roman" w:eastAsiaTheme="minorEastAsia"/>
      <w:lang w:val="en-US" w:eastAsia="zh-CN" w:bidi="ar-SA"/>
    </w:rPr>
  </w:style>
  <w:style w:type="paragraph" w:styleId="19">
    <w:name w:val="toc 6"/>
    <w:basedOn w:val="1"/>
    <w:next w:val="1"/>
    <w:autoRedefine/>
    <w:unhideWhenUsed/>
    <w:qFormat/>
    <w:uiPriority w:val="39"/>
    <w:pPr>
      <w:ind w:left="1200"/>
    </w:pPr>
    <w:rPr>
      <w:rFonts w:asciiTheme="minorHAnsi" w:eastAsiaTheme="minorHAnsi"/>
      <w:sz w:val="18"/>
      <w:szCs w:val="18"/>
    </w:rPr>
  </w:style>
  <w:style w:type="paragraph" w:styleId="20">
    <w:name w:val="toc 2"/>
    <w:basedOn w:val="1"/>
    <w:next w:val="1"/>
    <w:autoRedefine/>
    <w:unhideWhenUsed/>
    <w:qFormat/>
    <w:uiPriority w:val="39"/>
    <w:pPr>
      <w:tabs>
        <w:tab w:val="right" w:leader="dot" w:pos="9016"/>
      </w:tabs>
      <w:spacing w:before="120" w:beforeLines="50" w:after="120" w:afterLines="50"/>
      <w:ind w:left="240"/>
    </w:pPr>
    <w:rPr>
      <w:rFonts w:asciiTheme="minorHAnsi" w:eastAsiaTheme="minorHAnsi"/>
      <w:b/>
      <w:bCs/>
      <w:smallCaps/>
      <w:sz w:val="20"/>
      <w:szCs w:val="20"/>
    </w:rPr>
  </w:style>
  <w:style w:type="paragraph" w:styleId="21">
    <w:name w:val="toc 9"/>
    <w:basedOn w:val="1"/>
    <w:next w:val="1"/>
    <w:autoRedefine/>
    <w:unhideWhenUsed/>
    <w:qFormat/>
    <w:uiPriority w:val="39"/>
    <w:pPr>
      <w:ind w:left="1920"/>
    </w:pPr>
    <w:rPr>
      <w:rFonts w:asciiTheme="minorHAnsi" w:eastAsiaTheme="minorHAnsi"/>
      <w:sz w:val="18"/>
      <w:szCs w:val="18"/>
    </w:rPr>
  </w:style>
  <w:style w:type="paragraph" w:styleId="22">
    <w:name w:val="Normal (Web)"/>
    <w:basedOn w:val="1"/>
    <w:qFormat/>
    <w:uiPriority w:val="99"/>
    <w:pPr>
      <w:spacing w:beforeAutospacing="1" w:afterAutospacing="1"/>
    </w:pPr>
    <w:rPr>
      <w:rFonts w:asciiTheme="minorHAnsi" w:hAnsiTheme="minorHAnsi"/>
      <w:szCs w:val="22"/>
    </w:rPr>
  </w:style>
  <w:style w:type="paragraph" w:styleId="23">
    <w:name w:val="Title"/>
    <w:qFormat/>
    <w:uiPriority w:val="10"/>
    <w:rPr>
      <w:rFonts w:ascii="Times New Roman" w:hAnsi="Times New Roman" w:cs="Times New Roman" w:eastAsiaTheme="minorEastAsia"/>
      <w:sz w:val="56"/>
      <w:szCs w:val="56"/>
      <w:lang w:val="en-US" w:eastAsia="zh-CN" w:bidi="ar-SA"/>
    </w:rPr>
  </w:style>
  <w:style w:type="character" w:styleId="26">
    <w:name w:val="Strong"/>
    <w:basedOn w:val="25"/>
    <w:qFormat/>
    <w:uiPriority w:val="22"/>
    <w:rPr>
      <w:b/>
    </w:rPr>
  </w:style>
  <w:style w:type="character" w:styleId="27">
    <w:name w:val="page number"/>
    <w:basedOn w:val="25"/>
    <w:semiHidden/>
    <w:unhideWhenUsed/>
    <w:qFormat/>
    <w:uiPriority w:val="99"/>
  </w:style>
  <w:style w:type="character" w:styleId="28">
    <w:name w:val="Hyperlink"/>
    <w:unhideWhenUsed/>
    <w:qFormat/>
    <w:uiPriority w:val="99"/>
    <w:rPr>
      <w:color w:val="0563C1"/>
      <w:u w:val="single" w:color="0563C1"/>
    </w:rPr>
  </w:style>
  <w:style w:type="character" w:styleId="29">
    <w:name w:val="footnote reference"/>
    <w:semiHidden/>
    <w:unhideWhenUsed/>
    <w:qFormat/>
    <w:uiPriority w:val="99"/>
    <w:rPr>
      <w:vertAlign w:val="superscript"/>
    </w:rPr>
  </w:style>
  <w:style w:type="paragraph" w:customStyle="1" w:styleId="30">
    <w:name w:val="要点1"/>
    <w:qFormat/>
    <w:uiPriority w:val="0"/>
    <w:rPr>
      <w:rFonts w:ascii="Times New Roman" w:hAnsi="Times New Roman" w:cs="Times New Roman" w:eastAsiaTheme="minorEastAsia"/>
      <w:b/>
      <w:bCs/>
      <w:sz w:val="24"/>
      <w:szCs w:val="24"/>
      <w:lang w:val="en-US" w:eastAsia="zh-CN" w:bidi="ar-SA"/>
    </w:rPr>
  </w:style>
  <w:style w:type="paragraph" w:styleId="31">
    <w:name w:val="List Paragraph"/>
    <w:qFormat/>
    <w:uiPriority w:val="0"/>
    <w:rPr>
      <w:rFonts w:ascii="Times New Roman" w:hAnsi="Times New Roman" w:cs="Times New Roman" w:eastAsiaTheme="minorEastAsia"/>
      <w:sz w:val="24"/>
      <w:szCs w:val="24"/>
      <w:lang w:val="en-US" w:eastAsia="zh-CN" w:bidi="ar-SA"/>
    </w:rPr>
  </w:style>
  <w:style w:type="character" w:customStyle="1" w:styleId="32">
    <w:name w:val="脚注文本 字符"/>
    <w:link w:val="18"/>
    <w:semiHidden/>
    <w:unhideWhenUsed/>
    <w:qFormat/>
    <w:uiPriority w:val="99"/>
    <w:rPr>
      <w:sz w:val="20"/>
      <w:szCs w:val="20"/>
    </w:rPr>
  </w:style>
  <w:style w:type="paragraph" w:customStyle="1" w:styleId="33">
    <w:name w:val="MdSpace"/>
    <w:qFormat/>
    <w:uiPriority w:val="0"/>
    <w:rPr>
      <w:rFonts w:ascii="Times New Roman" w:hAnsi="Times New Roman" w:cs="Times New Roman" w:eastAsiaTheme="minorEastAsia"/>
      <w:sz w:val="12"/>
      <w:szCs w:val="12"/>
      <w:lang w:val="en-US" w:eastAsia="zh-CN" w:bidi="ar-SA"/>
    </w:rPr>
  </w:style>
  <w:style w:type="paragraph" w:customStyle="1" w:styleId="34">
    <w:name w:val="MdCode"/>
    <w:qFormat/>
    <w:uiPriority w:val="0"/>
    <w:pPr>
      <w:pBdr>
        <w:top w:val="single" w:color="A5A5A5" w:sz="2" w:space="8"/>
        <w:left w:val="single" w:color="A5A5A5" w:sz="2" w:space="8"/>
        <w:bottom w:val="single" w:color="A5A5A5" w:sz="2" w:space="8"/>
        <w:right w:val="single" w:color="A5A5A5" w:sz="2" w:space="8"/>
      </w:pBdr>
      <w:spacing w:before="200" w:after="200"/>
    </w:pPr>
    <w:rPr>
      <w:rFonts w:ascii="Courier New" w:hAnsi="Courier New" w:eastAsia="Courier New" w:cs="Courier New"/>
      <w:color w:val="70AD47"/>
      <w:sz w:val="22"/>
      <w:szCs w:val="22"/>
      <w:lang w:val="en-US" w:eastAsia="zh-CN" w:bidi="ar-SA"/>
    </w:rPr>
  </w:style>
  <w:style w:type="paragraph" w:customStyle="1" w:styleId="35">
    <w:name w:val="MdHr"/>
    <w:qFormat/>
    <w:uiPriority w:val="0"/>
    <w:pPr>
      <w:pBdr>
        <w:bottom w:val="single" w:color="A5A5A5" w:sz="2" w:space="1"/>
      </w:pBdr>
      <w:spacing w:before="240" w:after="240"/>
    </w:pPr>
    <w:rPr>
      <w:rFonts w:ascii="Times New Roman" w:hAnsi="Times New Roman" w:cs="Times New Roman" w:eastAsiaTheme="minorEastAsia"/>
      <w:sz w:val="24"/>
      <w:szCs w:val="24"/>
      <w:lang w:val="en-US" w:eastAsia="zh-CN" w:bidi="ar-SA"/>
    </w:rPr>
  </w:style>
  <w:style w:type="paragraph" w:customStyle="1" w:styleId="36">
    <w:name w:val="MdBlockquote"/>
    <w:qFormat/>
    <w:uiPriority w:val="0"/>
    <w:pPr>
      <w:pBdr>
        <w:left w:val="single" w:color="A5A5A5" w:sz="20" w:space="12"/>
      </w:pBdr>
      <w:spacing w:before="200" w:after="200"/>
      <w:ind w:left="360"/>
    </w:pPr>
    <w:rPr>
      <w:rFonts w:ascii="Times New Roman" w:hAnsi="Times New Roman" w:cs="Times New Roman" w:eastAsiaTheme="minorEastAsia"/>
      <w:i/>
      <w:iCs/>
      <w:color w:val="666666"/>
      <w:sz w:val="24"/>
      <w:szCs w:val="24"/>
      <w:lang w:val="en-US" w:eastAsia="zh-CN" w:bidi="ar-SA"/>
    </w:rPr>
  </w:style>
  <w:style w:type="paragraph" w:customStyle="1" w:styleId="37">
    <w:name w:val="MdHtml"/>
    <w:qFormat/>
    <w:uiPriority w:val="0"/>
    <w:rPr>
      <w:rFonts w:ascii="Courier New" w:hAnsi="Courier New" w:eastAsia="Courier New" w:cs="Courier New"/>
      <w:color w:val="ED7D31"/>
      <w:sz w:val="24"/>
      <w:szCs w:val="24"/>
      <w:lang w:val="en-US" w:eastAsia="zh-CN" w:bidi="ar-SA"/>
    </w:rPr>
  </w:style>
  <w:style w:type="paragraph" w:customStyle="1" w:styleId="38">
    <w:name w:val="MdDef"/>
    <w:qFormat/>
    <w:uiPriority w:val="0"/>
    <w:pPr>
      <w:ind w:left="720" w:hanging="360"/>
    </w:pPr>
    <w:rPr>
      <w:rFonts w:ascii="Times New Roman" w:hAnsi="Times New Roman" w:cs="Times New Roman" w:eastAsiaTheme="minorEastAsia"/>
      <w:sz w:val="24"/>
      <w:szCs w:val="24"/>
      <w:lang w:val="en-US" w:eastAsia="zh-CN" w:bidi="ar-SA"/>
    </w:rPr>
  </w:style>
  <w:style w:type="paragraph" w:customStyle="1" w:styleId="39">
    <w:name w:val="MdParagraph"/>
    <w:qFormat/>
    <w:uiPriority w:val="0"/>
    <w:pPr>
      <w:spacing w:before="120" w:after="120"/>
    </w:pPr>
    <w:rPr>
      <w:rFonts w:ascii="Times New Roman" w:hAnsi="Times New Roman" w:cs="Times New Roman" w:eastAsiaTheme="minorEastAsia"/>
      <w:sz w:val="24"/>
      <w:szCs w:val="24"/>
      <w:lang w:val="en-US" w:eastAsia="zh-CN" w:bidi="ar-SA"/>
    </w:rPr>
  </w:style>
  <w:style w:type="paragraph" w:customStyle="1" w:styleId="40">
    <w:name w:val="MdText"/>
    <w:qFormat/>
    <w:uiPriority w:val="0"/>
    <w:rPr>
      <w:rFonts w:ascii="Times New Roman" w:hAnsi="Times New Roman" w:cs="Times New Roman" w:eastAsiaTheme="minorEastAsia"/>
      <w:sz w:val="24"/>
      <w:szCs w:val="24"/>
      <w:lang w:val="en-US" w:eastAsia="zh-CN" w:bidi="ar-SA"/>
    </w:rPr>
  </w:style>
  <w:style w:type="paragraph" w:customStyle="1" w:styleId="41">
    <w:name w:val="MdFootnote"/>
    <w:qFormat/>
    <w:uiPriority w:val="0"/>
    <w:rPr>
      <w:rFonts w:ascii="Times New Roman" w:hAnsi="Times New Roman" w:cs="Times New Roman" w:eastAsiaTheme="minorEastAsia"/>
      <w:sz w:val="24"/>
      <w:szCs w:val="24"/>
      <w:vertAlign w:val="superscript"/>
      <w:lang w:val="en-US" w:eastAsia="zh-CN" w:bidi="ar-SA"/>
    </w:rPr>
  </w:style>
  <w:style w:type="paragraph" w:customStyle="1" w:styleId="42">
    <w:name w:val="MdListItem"/>
    <w:qFormat/>
    <w:uiPriority w:val="0"/>
    <w:pPr>
      <w:spacing w:before="60" w:after="60"/>
      <w:ind w:left="720" w:hanging="360"/>
    </w:pPr>
    <w:rPr>
      <w:rFonts w:ascii="Times New Roman" w:hAnsi="Times New Roman" w:cs="Times New Roman" w:eastAsiaTheme="minorEastAsia"/>
      <w:sz w:val="24"/>
      <w:szCs w:val="24"/>
      <w:lang w:val="en-US" w:eastAsia="zh-CN" w:bidi="ar-SA"/>
    </w:rPr>
  </w:style>
  <w:style w:type="paragraph" w:customStyle="1" w:styleId="43">
    <w:name w:val="MdTable"/>
    <w:qFormat/>
    <w:uiPriority w:val="0"/>
    <w:pPr>
      <w:spacing w:before="60" w:after="60"/>
    </w:pPr>
    <w:rPr>
      <w:rFonts w:ascii="Times New Roman" w:hAnsi="Times New Roman" w:cs="Times New Roman" w:eastAsiaTheme="minorEastAsia"/>
      <w:sz w:val="24"/>
      <w:szCs w:val="24"/>
      <w:lang w:val="en-US" w:eastAsia="zh-CN" w:bidi="ar-SA"/>
    </w:rPr>
  </w:style>
  <w:style w:type="paragraph" w:customStyle="1" w:styleId="44">
    <w:name w:val="MdTableHeader"/>
    <w:qFormat/>
    <w:uiPriority w:val="0"/>
    <w:pPr>
      <w:spacing w:before="60" w:after="60"/>
    </w:pPr>
    <w:rPr>
      <w:rFonts w:ascii="Times New Roman" w:hAnsi="Times New Roman" w:cs="Times New Roman" w:eastAsiaTheme="minorEastAsia"/>
      <w:b/>
      <w:bCs/>
      <w:sz w:val="22"/>
      <w:szCs w:val="22"/>
      <w:lang w:val="en-US" w:eastAsia="zh-CN" w:bidi="ar-SA"/>
    </w:rPr>
  </w:style>
  <w:style w:type="paragraph" w:customStyle="1" w:styleId="45">
    <w:name w:val="MdTableCell"/>
    <w:qFormat/>
    <w:uiPriority w:val="0"/>
    <w:pPr>
      <w:spacing w:before="40" w:after="40"/>
    </w:pPr>
    <w:rPr>
      <w:rFonts w:ascii="Times New Roman" w:hAnsi="Times New Roman" w:cs="Times New Roman" w:eastAsiaTheme="minorEastAsia"/>
      <w:lang w:val="en-US" w:eastAsia="zh-CN" w:bidi="ar-SA"/>
    </w:rPr>
  </w:style>
  <w:style w:type="paragraph" w:customStyle="1" w:styleId="46">
    <w:name w:val="MdHeading1"/>
    <w:qFormat/>
    <w:uiPriority w:val="0"/>
    <w:pPr>
      <w:keepNext/>
      <w:spacing w:before="480" w:after="240"/>
      <w:outlineLvl w:val="0"/>
    </w:pPr>
    <w:rPr>
      <w:rFonts w:ascii="Times New Roman" w:hAnsi="Times New Roman" w:cs="Times New Roman" w:eastAsiaTheme="minorEastAsia"/>
      <w:b/>
      <w:bCs/>
      <w:sz w:val="36"/>
      <w:szCs w:val="36"/>
      <w:lang w:val="en-US" w:eastAsia="zh-CN" w:bidi="ar-SA"/>
    </w:rPr>
  </w:style>
  <w:style w:type="paragraph" w:customStyle="1" w:styleId="47">
    <w:name w:val="MdHeading2"/>
    <w:qFormat/>
    <w:uiPriority w:val="0"/>
    <w:pPr>
      <w:keepNext/>
      <w:spacing w:before="400" w:after="200"/>
      <w:outlineLvl w:val="1"/>
    </w:pPr>
    <w:rPr>
      <w:rFonts w:ascii="Times New Roman" w:hAnsi="Times New Roman" w:cs="Times New Roman" w:eastAsiaTheme="minorEastAsia"/>
      <w:b/>
      <w:bCs/>
      <w:sz w:val="32"/>
      <w:szCs w:val="32"/>
      <w:lang w:val="en-US" w:eastAsia="zh-CN" w:bidi="ar-SA"/>
    </w:rPr>
  </w:style>
  <w:style w:type="paragraph" w:customStyle="1" w:styleId="48">
    <w:name w:val="MdHeading3"/>
    <w:qFormat/>
    <w:uiPriority w:val="0"/>
    <w:pPr>
      <w:keepNext/>
      <w:spacing w:before="320" w:after="160"/>
      <w:outlineLvl w:val="2"/>
    </w:pPr>
    <w:rPr>
      <w:rFonts w:ascii="Times New Roman" w:hAnsi="Times New Roman" w:cs="Times New Roman" w:eastAsiaTheme="minorEastAsia"/>
      <w:b/>
      <w:bCs/>
      <w:sz w:val="28"/>
      <w:szCs w:val="28"/>
      <w:lang w:val="en-US" w:eastAsia="zh-CN" w:bidi="ar-SA"/>
    </w:rPr>
  </w:style>
  <w:style w:type="paragraph" w:customStyle="1" w:styleId="49">
    <w:name w:val="MdHeading4"/>
    <w:qFormat/>
    <w:uiPriority w:val="0"/>
    <w:pPr>
      <w:keepNext/>
      <w:spacing w:before="280" w:after="140"/>
      <w:outlineLvl w:val="3"/>
    </w:pPr>
    <w:rPr>
      <w:rFonts w:ascii="Times New Roman" w:hAnsi="Times New Roman" w:cs="Times New Roman" w:eastAsiaTheme="minorEastAsia"/>
      <w:b/>
      <w:bCs/>
      <w:sz w:val="26"/>
      <w:szCs w:val="26"/>
      <w:lang w:val="en-US" w:eastAsia="zh-CN" w:bidi="ar-SA"/>
    </w:rPr>
  </w:style>
  <w:style w:type="paragraph" w:customStyle="1" w:styleId="50">
    <w:name w:val="MdHeading5"/>
    <w:qFormat/>
    <w:uiPriority w:val="0"/>
    <w:pPr>
      <w:keepNext/>
      <w:spacing w:before="240" w:after="120"/>
      <w:outlineLvl w:val="4"/>
    </w:pPr>
    <w:rPr>
      <w:rFonts w:ascii="Times New Roman" w:hAnsi="Times New Roman" w:cs="Times New Roman" w:eastAsiaTheme="minorEastAsia"/>
      <w:b/>
      <w:bCs/>
      <w:i/>
      <w:iCs/>
      <w:sz w:val="24"/>
      <w:szCs w:val="24"/>
      <w:lang w:val="en-US" w:eastAsia="zh-CN" w:bidi="ar-SA"/>
    </w:rPr>
  </w:style>
  <w:style w:type="paragraph" w:customStyle="1" w:styleId="51">
    <w:name w:val="MdHeading6"/>
    <w:qFormat/>
    <w:uiPriority w:val="0"/>
    <w:pPr>
      <w:keepNext/>
      <w:spacing w:before="240" w:after="120"/>
      <w:outlineLvl w:val="5"/>
    </w:pPr>
    <w:rPr>
      <w:rFonts w:ascii="Times New Roman" w:hAnsi="Times New Roman" w:cs="Times New Roman" w:eastAsiaTheme="minorEastAsia"/>
      <w:i/>
      <w:iCs/>
      <w:sz w:val="24"/>
      <w:szCs w:val="24"/>
      <w:lang w:val="en-US" w:eastAsia="zh-CN" w:bidi="ar-SA"/>
    </w:rPr>
  </w:style>
  <w:style w:type="character" w:customStyle="1" w:styleId="52">
    <w:name w:val="MdTag"/>
    <w:unhideWhenUsed/>
    <w:qFormat/>
    <w:uiPriority w:val="99"/>
    <w:rPr>
      <w:rFonts w:ascii="Courier New" w:hAnsi="Courier New" w:eastAsia="Courier New" w:cs="Courier New"/>
      <w:color w:val="ED7D31"/>
    </w:rPr>
  </w:style>
  <w:style w:type="character" w:customStyle="1" w:styleId="53">
    <w:name w:val="MdLink"/>
    <w:unhideWhenUsed/>
    <w:qFormat/>
    <w:uiPriority w:val="99"/>
    <w:rPr>
      <w:color w:val="0563C1"/>
      <w:u w:val="single"/>
    </w:rPr>
  </w:style>
  <w:style w:type="character" w:customStyle="1" w:styleId="54">
    <w:name w:val="MdStrong"/>
    <w:unhideWhenUsed/>
    <w:qFormat/>
    <w:uiPriority w:val="99"/>
    <w:rPr>
      <w:b/>
      <w:bCs/>
    </w:rPr>
  </w:style>
  <w:style w:type="character" w:customStyle="1" w:styleId="55">
    <w:name w:val="MdEm"/>
    <w:unhideWhenUsed/>
    <w:qFormat/>
    <w:uiPriority w:val="99"/>
    <w:rPr>
      <w:i/>
      <w:iCs/>
    </w:rPr>
  </w:style>
  <w:style w:type="character" w:customStyle="1" w:styleId="56">
    <w:name w:val="MdCodespan"/>
    <w:unhideWhenUsed/>
    <w:qFormat/>
    <w:uiPriority w:val="99"/>
    <w:rPr>
      <w:rFonts w:ascii="Courier New" w:hAnsi="Courier New" w:eastAsia="Courier New" w:cs="Courier New"/>
      <w:color w:val="70AD47"/>
    </w:rPr>
  </w:style>
  <w:style w:type="character" w:customStyle="1" w:styleId="57">
    <w:name w:val="MdDel"/>
    <w:unhideWhenUsed/>
    <w:qFormat/>
    <w:uiPriority w:val="99"/>
    <w:rPr>
      <w:strike/>
    </w:rPr>
  </w:style>
  <w:style w:type="character" w:customStyle="1" w:styleId="58">
    <w:name w:val="MdBr"/>
    <w:unhideWhenUsed/>
    <w:qFormat/>
    <w:uiPriority w:val="99"/>
  </w:style>
  <w:style w:type="character" w:customStyle="1" w:styleId="59">
    <w:name w:val="页眉 字符"/>
    <w:basedOn w:val="25"/>
    <w:link w:val="15"/>
    <w:qFormat/>
    <w:uiPriority w:val="99"/>
    <w:rPr>
      <w:sz w:val="18"/>
      <w:szCs w:val="18"/>
    </w:rPr>
  </w:style>
  <w:style w:type="character" w:customStyle="1" w:styleId="60">
    <w:name w:val="页脚 字符"/>
    <w:basedOn w:val="25"/>
    <w:link w:val="14"/>
    <w:qFormat/>
    <w:uiPriority w:val="99"/>
    <w:rPr>
      <w:sz w:val="18"/>
      <w:szCs w:val="18"/>
    </w:rPr>
  </w:style>
  <w:style w:type="character" w:customStyle="1" w:styleId="61">
    <w:name w:val="正文文本 字符"/>
    <w:basedOn w:val="25"/>
    <w:link w:val="10"/>
    <w:qFormat/>
    <w:uiPriority w:val="0"/>
    <w:rPr>
      <w:rFonts w:asciiTheme="minorHAnsi" w:hAnsiTheme="minorHAnsi" w:eastAsiaTheme="minorHAnsi" w:cstheme="minorBidi"/>
      <w:sz w:val="24"/>
      <w:szCs w:val="24"/>
      <w:lang w:eastAsia="en-US"/>
    </w:rPr>
  </w:style>
  <w:style w:type="paragraph" w:customStyle="1" w:styleId="62">
    <w:name w:val="First Paragraph"/>
    <w:basedOn w:val="10"/>
    <w:next w:val="10"/>
    <w:qFormat/>
    <w:uiPriority w:val="0"/>
  </w:style>
  <w:style w:type="paragraph" w:customStyle="1" w:styleId="63">
    <w:name w:val="Compact"/>
    <w:basedOn w:val="10"/>
    <w:qFormat/>
    <w:uiPriority w:val="0"/>
    <w:pPr>
      <w:spacing w:before="36" w:after="36"/>
    </w:pPr>
  </w:style>
  <w:style w:type="character" w:customStyle="1" w:styleId="64">
    <w:name w:val="Unresolved Mention"/>
    <w:basedOn w:val="2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83AB7A-F442-4540-A646-FF2F53E43609}">
  <ds:schemaRefs/>
</ds:datastoreItem>
</file>

<file path=docProps/app.xml><?xml version="1.0" encoding="utf-8"?>
<Properties xmlns="http://schemas.openxmlformats.org/officeDocument/2006/extended-properties" xmlns:vt="http://schemas.openxmlformats.org/officeDocument/2006/docPropsVTypes">
  <Template>Normal.dotm</Template>
  <Pages>47</Pages>
  <Words>34515</Words>
  <Characters>36580</Characters>
  <Lines>271</Lines>
  <Paragraphs>76</Paragraphs>
  <TotalTime>853</TotalTime>
  <ScaleCrop>false</ScaleCrop>
  <LinksUpToDate>false</LinksUpToDate>
  <CharactersWithSpaces>37716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2026-03-13T09:23:00Z</dcterms:created>
  <dc:creator>md2docx converter</dc:creator>
  <dc:description>Converted from Markdown</dc:description>
  <cp:lastModifiedBy>V</cp:lastModifiedBy>
  <cp:lastPrinted>2026-03-13T09:23:00Z</cp:lastPrinted>
  <dcterms:modified xsi:type="dcterms:W3CDTF">2026-03-17T08:15:46Z</dcterms:modified>
  <dc:title>Converted Document</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eyJoZGlkIjoiZmZkNmQ0NmFhNWI1NWY4MjI3MmQ1NTYyMzQ4OWUyY2YiLCJ1c2VySWQiOiI5MTE4ODY0MjEifQ==</vt:lpwstr>
  </property>
  <property fmtid="{D5CDD505-2E9C-101B-9397-08002B2CF9AE}" pid="3" name="KSOProductBuildVer">
    <vt:lpwstr>2052-12.1.0.24657</vt:lpwstr>
  </property>
  <property fmtid="{D5CDD505-2E9C-101B-9397-08002B2CF9AE}" pid="4" name="ICV">
    <vt:lpwstr>7AD9E15B5E6543FAA6E2E33D7AC180C4_13</vt:lpwstr>
  </property>
</Properties>
</file>