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65D3">
      <w:pPr>
        <w:jc w:val="center"/>
      </w:pPr>
      <w:r>
        <w:rPr>
          <w:b/>
          <w:color w:val="1A3C6E"/>
          <w:sz w:val="36"/>
        </w:rPr>
        <w:t>瑞兴审计AI · 四方合作项目规划</w:t>
      </w:r>
    </w:p>
    <w:p w14:paraId="4A8EB0C7">
      <w:pPr>
        <w:jc w:val="center"/>
      </w:pPr>
      <w:r>
        <w:rPr>
          <w:color w:val="888888"/>
          <w:sz w:val="22"/>
        </w:rPr>
        <w:t>（草案 · 征求意见稿）</w:t>
      </w:r>
    </w:p>
    <w:p w14:paraId="740794FC"/>
    <w:p w14:paraId="4FACAFFF">
      <w:pPr>
        <w:jc w:val="center"/>
      </w:pPr>
      <w:r>
        <w:rPr>
          <w:color w:val="999999"/>
          <w:sz w:val="20"/>
        </w:rPr>
        <w:t>起草时间：2026年6月8日　|　版本：V0.1</w:t>
      </w:r>
    </w:p>
    <w:p w14:paraId="3B1B90D7"/>
    <w:p w14:paraId="04EC5DC7">
      <w:pPr>
        <w:ind w:firstLine="397"/>
      </w:pPr>
      <w:r>
        <w:t>袁总、赵总，你们好。</w:t>
      </w:r>
    </w:p>
    <w:p w14:paraId="4E406549">
      <w:pPr>
        <w:ind w:firstLine="397"/>
      </w:pPr>
      <w:r>
        <w:t>基于6月5日会议的讨论成果，以及后续关于资金方引入、股权比例和开发预算的补充意见，我们整理了一份调整后的项目规划，供两位审阅和补充。这个项目的本质是四方各出所长，一起做一件有市场价值的事——把AI技术、审计专业能力、市场运营资源和项目资金结合起来，做一款真正能服务中小企业的AI审计平台。</w:t>
      </w:r>
    </w:p>
    <w:p w14:paraId="6352AC18">
      <w:pPr>
        <w:ind w:firstLine="397"/>
      </w:pPr>
      <w:r>
        <w:t>以下是我们的一些想法，定有不成熟之处，请多指正。</w:t>
      </w:r>
    </w:p>
    <w:p w14:paraId="2BD41739"/>
    <w:p w14:paraId="13FFB085">
      <w:pPr>
        <w:pStyle w:val="3"/>
      </w:pPr>
      <w:r>
        <w:rPr>
          <w:color w:val="1A3C6E"/>
        </w:rPr>
        <w:t>一、四方定位与各自贡献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3022"/>
        <w:gridCol w:w="3022"/>
      </w:tblGrid>
      <w:tr w14:paraId="03B1267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249AEC6E">
            <w:pPr>
              <w:spacing w:after="0"/>
            </w:pPr>
            <w:r>
              <w:rPr>
                <w:b/>
              </w:rPr>
              <w:t>角色</w:t>
            </w:r>
          </w:p>
        </w:tc>
        <w:tc>
          <w:tcPr>
            <w:tcW w:w="3022" w:type="dxa"/>
          </w:tcPr>
          <w:p w14:paraId="1E0CFBE1">
            <w:pPr>
              <w:spacing w:after="0"/>
            </w:pPr>
            <w:r>
              <w:rPr>
                <w:b/>
              </w:rPr>
              <w:t>负责人</w:t>
            </w:r>
          </w:p>
        </w:tc>
        <w:tc>
          <w:tcPr>
            <w:tcW w:w="3022" w:type="dxa"/>
          </w:tcPr>
          <w:p w14:paraId="7EE5279B">
            <w:pPr>
              <w:spacing w:after="0"/>
            </w:pPr>
            <w:r>
              <w:rPr>
                <w:b/>
              </w:rPr>
              <w:t>核心贡献</w:t>
            </w:r>
          </w:p>
        </w:tc>
      </w:tr>
      <w:tr w14:paraId="5C09E45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4E9B1A24">
            <w:pPr>
              <w:spacing w:after="0"/>
            </w:pPr>
            <w:r>
              <w:t>审计专业方</w:t>
            </w:r>
          </w:p>
        </w:tc>
        <w:tc>
          <w:tcPr>
            <w:tcW w:w="3022" w:type="dxa"/>
          </w:tcPr>
          <w:p w14:paraId="6896DBB1">
            <w:pPr>
              <w:spacing w:after="0"/>
            </w:pPr>
            <w:r>
              <w:t>袁总 / 瑞兴财税</w:t>
            </w:r>
          </w:p>
        </w:tc>
        <w:tc>
          <w:tcPr>
            <w:tcW w:w="3022" w:type="dxa"/>
          </w:tcPr>
          <w:p w14:paraId="13F32F81">
            <w:pPr>
              <w:spacing w:after="0"/>
            </w:pPr>
            <w:r>
              <w:t>行业know-how、审计规则与风险判断逻辑、CPA签字审核、报告模板与合规把控</w:t>
            </w:r>
          </w:p>
        </w:tc>
      </w:tr>
      <w:tr w14:paraId="46D6F98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18A94AEB">
            <w:pPr>
              <w:spacing w:after="0"/>
            </w:pPr>
            <w:r>
              <w:t>运营市场方</w:t>
            </w:r>
          </w:p>
        </w:tc>
        <w:tc>
          <w:tcPr>
            <w:tcW w:w="3022" w:type="dxa"/>
          </w:tcPr>
          <w:p w14:paraId="61DE327E">
            <w:pPr>
              <w:spacing w:after="0"/>
            </w:pPr>
            <w:r>
              <w:t>赵总</w:t>
            </w:r>
          </w:p>
        </w:tc>
        <w:tc>
          <w:tcPr>
            <w:tcW w:w="3022" w:type="dxa"/>
          </w:tcPr>
          <w:p w14:paraId="12B1D8B8">
            <w:pPr>
              <w:spacing w:after="0"/>
            </w:pPr>
            <w:r>
              <w:t>市场渠道开拓、客户对接、地域资源、代理记账公司网络</w:t>
            </w:r>
          </w:p>
        </w:tc>
      </w:tr>
      <w:tr w14:paraId="005244C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08FD384A">
            <w:pPr>
              <w:spacing w:after="0"/>
            </w:pPr>
            <w:r>
              <w:t>技术开发方</w:t>
            </w:r>
          </w:p>
        </w:tc>
        <w:tc>
          <w:tcPr>
            <w:tcW w:w="3022" w:type="dxa"/>
          </w:tcPr>
          <w:p w14:paraId="04BD694E">
            <w:pPr>
              <w:spacing w:after="0"/>
            </w:pPr>
            <w:r>
              <w:t>远见行</w:t>
            </w:r>
          </w:p>
        </w:tc>
        <w:tc>
          <w:tcPr>
            <w:tcW w:w="3022" w:type="dxa"/>
          </w:tcPr>
          <w:p w14:paraId="63520882">
            <w:pPr>
              <w:spacing w:after="0"/>
            </w:pPr>
            <w:r>
              <w:t>AI引擎搭建、系统前后端开发、云端部署与运维、产品持续迭代</w:t>
            </w:r>
          </w:p>
        </w:tc>
      </w:tr>
      <w:tr w14:paraId="1E4425E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4F823577">
            <w:pPr>
              <w:spacing w:after="0"/>
            </w:pPr>
            <w:r>
              <w:t>资金方</w:t>
            </w:r>
          </w:p>
        </w:tc>
        <w:tc>
          <w:tcPr>
            <w:tcW w:w="3022" w:type="dxa"/>
          </w:tcPr>
          <w:p w14:paraId="0C1FA03F">
            <w:pPr>
              <w:spacing w:after="0"/>
            </w:pPr>
            <w:r>
              <w:t>资金合作方</w:t>
            </w:r>
          </w:p>
        </w:tc>
        <w:tc>
          <w:tcPr>
            <w:tcW w:w="3022" w:type="dxa"/>
          </w:tcPr>
          <w:p w14:paraId="4B5C0AD0">
            <w:pPr>
              <w:spacing w:after="0"/>
            </w:pPr>
            <w:r>
              <w:t>项目启动资金、阶段性开发投入、市场推广资金、资金使用监督与后续融资支持</w:t>
            </w:r>
          </w:p>
        </w:tc>
      </w:tr>
    </w:tbl>
    <w:p w14:paraId="18613F11"/>
    <w:p w14:paraId="69559FBF">
      <w:pPr>
        <w:ind w:firstLine="397"/>
      </w:pPr>
      <w:r>
        <w:t>四方的价值没有高低之分：没有审计专业能力，产品没有灵魂；没有市场渠道，产品无人知晓；没有技术实现，想法落不了地；没有启动资金和阶段性投入，项目难以稳定推进。这是一个各尽所长、利益共享、风险共担的合作。</w:t>
      </w:r>
    </w:p>
    <w:p w14:paraId="6E5CF108"/>
    <w:p w14:paraId="7CDAB9B5">
      <w:pPr>
        <w:pStyle w:val="3"/>
      </w:pPr>
      <w:r>
        <w:rPr>
          <w:color w:val="1A3C6E"/>
        </w:rPr>
        <w:t>二、合作框架初步设想</w:t>
      </w:r>
    </w:p>
    <w:p w14:paraId="0B361C90">
      <w:pPr>
        <w:pStyle w:val="4"/>
      </w:pPr>
      <w:r>
        <w:t>开发费用</w:t>
      </w:r>
    </w:p>
    <w:p w14:paraId="159938CE">
      <w:pPr>
        <w:ind w:firstLine="397"/>
      </w:pPr>
      <w:r>
        <w:t>技术团队的人工成本由项目资金支付，我方不垫资。考虑到AI审计平台涉及审计规则结构化、报告生成、安全权限、测试验收和后续迭代，原开发预算建议在原测算基础上整体上浮约30%。</w:t>
      </w:r>
      <w:r>
        <w:rPr>
          <w:rFonts w:hint="eastAsia" w:eastAsia="宋体"/>
          <w:lang w:val="en-US" w:eastAsia="zh-CN"/>
        </w:rPr>
        <w:t>初步产品出来，</w:t>
      </w:r>
      <w:r>
        <w:t>开发周期约10-12周，调整后初步预估如下：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3022"/>
        <w:gridCol w:w="3022"/>
      </w:tblGrid>
      <w:tr w14:paraId="248027F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0A05B51F">
            <w:pPr>
              <w:spacing w:after="0"/>
            </w:pPr>
            <w:r>
              <w:rPr>
                <w:b/>
              </w:rPr>
              <w:t>项目</w:t>
            </w:r>
          </w:p>
        </w:tc>
        <w:tc>
          <w:tcPr>
            <w:tcW w:w="3022" w:type="dxa"/>
          </w:tcPr>
          <w:p w14:paraId="27CE30CB">
            <w:pPr>
              <w:spacing w:after="0"/>
            </w:pPr>
            <w:r>
              <w:rPr>
                <w:b/>
              </w:rPr>
              <w:t>说明</w:t>
            </w:r>
          </w:p>
        </w:tc>
        <w:tc>
          <w:tcPr>
            <w:tcW w:w="3022" w:type="dxa"/>
          </w:tcPr>
          <w:p w14:paraId="4E2A88CB">
            <w:pPr>
              <w:spacing w:after="0"/>
            </w:pPr>
            <w:r>
              <w:rPr>
                <w:b/>
              </w:rPr>
              <w:t>预估费用</w:t>
            </w:r>
          </w:p>
        </w:tc>
      </w:tr>
      <w:tr w14:paraId="1F3967B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54A1CB33">
            <w:pPr>
              <w:spacing w:after="0"/>
            </w:pPr>
            <w:r>
              <w:t>全栈</w:t>
            </w:r>
            <w:bookmarkStart w:id="0" w:name="_GoBack"/>
            <w:bookmarkEnd w:id="0"/>
            <w:r>
              <w:t>工程师（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人×3个月）</w:t>
            </w:r>
            <w:r>
              <w:br w:type="textWrapping"/>
            </w:r>
          </w:p>
        </w:tc>
        <w:tc>
          <w:tcPr>
            <w:tcW w:w="3022" w:type="dxa"/>
          </w:tcPr>
          <w:p w14:paraId="0E5E625A">
            <w:pPr>
              <w:spacing w:after="0"/>
            </w:pPr>
            <w:r>
              <w:t>Web端、API接口、数据库搭建</w:t>
            </w:r>
          </w:p>
        </w:tc>
        <w:tc>
          <w:tcPr>
            <w:tcW w:w="3022" w:type="dxa"/>
          </w:tcPr>
          <w:p w14:paraId="07E2F287">
            <w:pPr>
              <w:spacing w:after="0"/>
            </w:pPr>
            <w:r>
              <w:t>¥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t>7,500</w:t>
            </w:r>
          </w:p>
        </w:tc>
      </w:tr>
      <w:tr w14:paraId="11A8E59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26689FE4">
            <w:pPr>
              <w:spacing w:after="0"/>
            </w:pPr>
            <w:r>
              <w:t>AI算法工程师（1人×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t>个月）</w:t>
            </w:r>
            <w:r>
              <w:br w:type="textWrapping"/>
            </w:r>
          </w:p>
        </w:tc>
        <w:tc>
          <w:tcPr>
            <w:tcW w:w="3022" w:type="dxa"/>
          </w:tcPr>
          <w:p w14:paraId="0B8B5C60">
            <w:pPr>
              <w:spacing w:after="0"/>
            </w:pPr>
            <w:r>
              <w:t>审计知识库、报告自动生成引擎</w:t>
            </w:r>
          </w:p>
        </w:tc>
        <w:tc>
          <w:tcPr>
            <w:tcW w:w="3022" w:type="dxa"/>
          </w:tcPr>
          <w:p w14:paraId="4647585C">
            <w:pPr>
              <w:spacing w:after="0"/>
            </w:pPr>
            <w:r>
              <w:t>¥78,000</w:t>
            </w:r>
          </w:p>
        </w:tc>
      </w:tr>
      <w:tr w14:paraId="5AB0C4F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00E3FE7E">
            <w:pPr>
              <w:spacing w:after="0"/>
            </w:pPr>
            <w:r>
              <w:t>云服务器+API费用（3个月）</w:t>
            </w:r>
            <w:r>
              <w:br w:type="textWrapping"/>
            </w:r>
          </w:p>
        </w:tc>
        <w:tc>
          <w:tcPr>
            <w:tcW w:w="3022" w:type="dxa"/>
          </w:tcPr>
          <w:p w14:paraId="769AA183">
            <w:pPr>
              <w:spacing w:after="0"/>
            </w:pPr>
            <w:r>
              <w:t>轻量级起步</w:t>
            </w:r>
          </w:p>
        </w:tc>
        <w:tc>
          <w:tcPr>
            <w:tcW w:w="3022" w:type="dxa"/>
          </w:tcPr>
          <w:p w14:paraId="521676B7">
            <w:pPr>
              <w:spacing w:after="0"/>
            </w:pPr>
            <w:r>
              <w:t>¥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7,800</w:t>
            </w:r>
          </w:p>
        </w:tc>
      </w:tr>
      <w:tr w14:paraId="25A0DDD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4B2961C6">
            <w:pPr>
              <w:spacing w:after="0"/>
            </w:pPr>
            <w:r>
              <w:t>域名、SSL证书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接口</w:t>
            </w:r>
            <w:r>
              <w:t>等</w:t>
            </w:r>
          </w:p>
        </w:tc>
        <w:tc>
          <w:tcPr>
            <w:tcW w:w="3022" w:type="dxa"/>
          </w:tcPr>
          <w:p w14:paraId="7EA698DD">
            <w:pPr>
              <w:spacing w:after="0"/>
            </w:pPr>
            <w:r>
              <w:t>一次性</w:t>
            </w:r>
          </w:p>
        </w:tc>
        <w:tc>
          <w:tcPr>
            <w:tcW w:w="3022" w:type="dxa"/>
          </w:tcPr>
          <w:p w14:paraId="6A5E2081">
            <w:pPr>
              <w:spacing w:after="0"/>
            </w:pPr>
            <w:r>
              <w:t>¥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1,300</w:t>
            </w:r>
          </w:p>
        </w:tc>
      </w:tr>
      <w:tr w14:paraId="69AA176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58C7874E">
            <w:pPr>
              <w:spacing w:after="0"/>
            </w:pPr>
            <w:r>
              <w:rPr>
                <w:b/>
              </w:rPr>
              <w:t>总计</w:t>
            </w:r>
          </w:p>
        </w:tc>
        <w:tc>
          <w:tcPr>
            <w:tcW w:w="3022" w:type="dxa"/>
          </w:tcPr>
          <w:p w14:paraId="5EFD145E">
            <w:pPr>
              <w:spacing w:after="0"/>
            </w:pPr>
            <w:r>
              <w:rPr>
                <w:b/>
              </w:rPr>
              <w:t>—</w:t>
            </w:r>
          </w:p>
        </w:tc>
        <w:tc>
          <w:tcPr>
            <w:tcW w:w="3022" w:type="dxa"/>
          </w:tcPr>
          <w:p w14:paraId="4EC3A234">
            <w:pPr>
              <w:spacing w:after="0"/>
            </w:pPr>
            <w:r>
              <w:rPr>
                <w:b/>
              </w:rPr>
              <w:t>约 ¥184,600（约18.5万元）</w:t>
            </w:r>
            <w:r>
              <w:rPr>
                <w:b/>
              </w:rPr>
              <w:br w:type="textWrapping"/>
            </w:r>
          </w:p>
        </w:tc>
      </w:tr>
    </w:tbl>
    <w:p w14:paraId="19AE0AF6"/>
    <w:p w14:paraId="1642AE94">
      <w:pPr>
        <w:ind w:firstLine="397"/>
      </w:pPr>
      <w:r>
        <w:t>可根据实际情况选择不同档位：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3022"/>
        <w:gridCol w:w="3022"/>
      </w:tblGrid>
      <w:tr w14:paraId="2F4E754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09530958">
            <w:pPr>
              <w:spacing w:after="0"/>
            </w:pPr>
            <w:r>
              <w:rPr>
                <w:b/>
              </w:rPr>
              <w:t>方案</w:t>
            </w:r>
          </w:p>
        </w:tc>
        <w:tc>
          <w:tcPr>
            <w:tcW w:w="3022" w:type="dxa"/>
          </w:tcPr>
          <w:p w14:paraId="6CA3ED58">
            <w:pPr>
              <w:spacing w:after="0"/>
            </w:pPr>
            <w:r>
              <w:rPr>
                <w:b/>
              </w:rPr>
              <w:t>说明</w:t>
            </w:r>
          </w:p>
        </w:tc>
        <w:tc>
          <w:tcPr>
            <w:tcW w:w="3022" w:type="dxa"/>
          </w:tcPr>
          <w:p w14:paraId="25A8B0BA">
            <w:pPr>
              <w:spacing w:after="0"/>
            </w:pPr>
            <w:r>
              <w:rPr>
                <w:b/>
              </w:rPr>
              <w:t>预算</w:t>
            </w:r>
          </w:p>
        </w:tc>
      </w:tr>
      <w:tr w14:paraId="533248B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2AFC5D8E">
            <w:pPr>
              <w:spacing w:after="0"/>
            </w:pPr>
            <w:r>
              <w:t>标准版</w:t>
            </w:r>
          </w:p>
        </w:tc>
        <w:tc>
          <w:tcPr>
            <w:tcW w:w="3022" w:type="dxa"/>
          </w:tcPr>
          <w:p w14:paraId="2594AFD3">
            <w:pPr>
              <w:spacing w:after="0"/>
            </w:pPr>
            <w:r>
              <w:t>1名全栈 + 1名AI工程师（可兼职部分时段）</w:t>
            </w:r>
            <w:r>
              <w:br w:type="textWrapping"/>
            </w:r>
          </w:p>
        </w:tc>
        <w:tc>
          <w:tcPr>
            <w:tcW w:w="3022" w:type="dxa"/>
          </w:tcPr>
          <w:p w14:paraId="45D55273">
            <w:pPr>
              <w:spacing w:after="0"/>
            </w:pPr>
            <w:r>
              <w:t>约18-20万元</w:t>
            </w:r>
          </w:p>
        </w:tc>
      </w:tr>
      <w:tr w14:paraId="6A06DF6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32BE2CCD">
            <w:pPr>
              <w:spacing w:after="0"/>
            </w:pPr>
            <w:r>
              <w:t>精简版</w:t>
            </w:r>
          </w:p>
        </w:tc>
        <w:tc>
          <w:tcPr>
            <w:tcW w:w="3022" w:type="dxa"/>
          </w:tcPr>
          <w:p w14:paraId="66C97A79">
            <w:pPr>
              <w:spacing w:after="0"/>
            </w:pPr>
            <w:r>
              <w:t>1名全栈兼AI（找有能力的综合型工程师）</w:t>
            </w:r>
            <w:r>
              <w:br w:type="textWrapping"/>
            </w:r>
          </w:p>
        </w:tc>
        <w:tc>
          <w:tcPr>
            <w:tcW w:w="3022" w:type="dxa"/>
          </w:tcPr>
          <w:p w14:paraId="017205A9">
            <w:pPr>
              <w:spacing w:after="0"/>
            </w:pPr>
            <w:r>
              <w:t>约13万元</w:t>
            </w:r>
          </w:p>
        </w:tc>
      </w:tr>
      <w:tr w14:paraId="526C1A9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 w14:paraId="3A78AE73">
            <w:pPr>
              <w:spacing w:after="0"/>
            </w:pPr>
            <w:r>
              <w:t>验证版</w:t>
            </w:r>
          </w:p>
        </w:tc>
        <w:tc>
          <w:tcPr>
            <w:tcW w:w="3022" w:type="dxa"/>
          </w:tcPr>
          <w:p w14:paraId="5F1FF096">
            <w:pPr>
              <w:spacing w:after="0"/>
            </w:pPr>
            <w:r>
              <w:t>先做AI引擎核心+ 跑通5份样本报告，后端先行</w:t>
            </w:r>
            <w:r>
              <w:br w:type="textWrapping"/>
            </w:r>
          </w:p>
        </w:tc>
        <w:tc>
          <w:tcPr>
            <w:tcW w:w="3022" w:type="dxa"/>
          </w:tcPr>
          <w:p w14:paraId="1D452717">
            <w:pPr>
              <w:spacing w:after="0"/>
            </w:pPr>
            <w:r>
              <w:t>约8万元</w:t>
            </w:r>
          </w:p>
        </w:tc>
      </w:tr>
    </w:tbl>
    <w:p w14:paraId="6511C4D6"/>
    <w:p w14:paraId="7B9FC05F">
      <w:pPr>
        <w:pStyle w:val="4"/>
      </w:pPr>
      <w:r>
        <w:t>付款节奏（建议）</w:t>
      </w:r>
    </w:p>
    <w:p w14:paraId="3CF372AB">
      <w:pPr>
        <w:ind w:firstLine="397"/>
      </w:pPr>
      <w:r>
        <w:t>资金按项目里程碑分步支付，对各方都更安心。以下金额按调整后约18.5万元预算测算，最终以实际确认预算为准：</w:t>
      </w:r>
    </w:p>
    <w:p w14:paraId="116C6C57">
      <w:pPr>
        <w:pStyle w:val="16"/>
      </w:pPr>
      <w:r>
        <w:t>签约启动（约¥7.4万，占40%）</w:t>
      </w:r>
    </w:p>
    <w:p w14:paraId="6A944537">
      <w:pPr>
        <w:pStyle w:val="16"/>
      </w:pPr>
      <w:r>
        <w:t>→ 原型验证 · 第4周（约¥5.5万，占30%）</w:t>
      </w:r>
    </w:p>
    <w:p w14:paraId="7459AB01">
      <w:pPr>
        <w:pStyle w:val="16"/>
      </w:pPr>
      <w:r>
        <w:t>→</w:t>
      </w:r>
      <w:r>
        <w:rPr>
          <w:rFonts w:hint="eastAsia" w:eastAsia="宋体"/>
          <w:lang w:val="en-US" w:eastAsia="zh-CN"/>
        </w:rPr>
        <w:t>产品</w:t>
      </w:r>
      <w:r>
        <w:t>上线验收 · 第10周（约¥5.5万，占30%）</w:t>
      </w:r>
    </w:p>
    <w:p w14:paraId="3944B8D0">
      <w:pPr>
        <w:ind w:firstLine="397"/>
      </w:pPr>
      <w:r>
        <w:t>建议将资金转入项目共管账户或未来成立的项目公司对公账户，每一笔支出透明可查。</w:t>
      </w:r>
    </w:p>
    <w:p w14:paraId="54D9EDB9"/>
    <w:p w14:paraId="003AF75F">
      <w:pPr>
        <w:pStyle w:val="4"/>
      </w:pPr>
      <w:r>
        <w:t>关于股权</w:t>
      </w:r>
    </w:p>
    <w:p w14:paraId="425F1F42">
      <w:pPr>
        <w:ind w:firstLine="397"/>
      </w:pPr>
      <w:r>
        <w:t>引入资金方后，建议从“三方合作”调整为“四方合作”，并把股权设计为“运营方+审计专业方合计控股、技术方不超过30%、资金方按实际出资取得10%-30%”的框架：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66"/>
        <w:gridCol w:w="4239"/>
      </w:tblGrid>
      <w:tr w14:paraId="565C6D5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5AE6265E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合作方</w:t>
            </w:r>
          </w:p>
        </w:tc>
        <w:tc>
          <w:tcPr>
            <w:tcW w:w="2266" w:type="dxa"/>
          </w:tcPr>
          <w:p w14:paraId="401A4EEA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b/>
              </w:rPr>
              <w:t>建议比例</w:t>
            </w:r>
          </w:p>
        </w:tc>
        <w:tc>
          <w:tcPr>
            <w:tcW w:w="4239" w:type="dxa"/>
          </w:tcPr>
          <w:p w14:paraId="78D9DF86">
            <w:pPr>
              <w:spacing w:after="0"/>
            </w:pPr>
            <w:r>
              <w:rPr>
                <w:b/>
              </w:rPr>
              <w:t>说明</w:t>
            </w:r>
          </w:p>
        </w:tc>
      </w:tr>
      <w:tr w14:paraId="4A966DB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24BD34BF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审计专业方（袁总 / 瑞兴财税）</w:t>
            </w:r>
          </w:p>
        </w:tc>
        <w:tc>
          <w:tcPr>
            <w:tcW w:w="2266" w:type="dxa"/>
          </w:tcPr>
          <w:p w14:paraId="5829F6D0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20%-30%</w:t>
            </w:r>
          </w:p>
        </w:tc>
        <w:tc>
          <w:tcPr>
            <w:tcW w:w="4239" w:type="dxa"/>
          </w:tcPr>
          <w:p w14:paraId="16F2076D">
            <w:pPr>
              <w:spacing w:after="0"/>
            </w:pPr>
            <w:r>
              <w:rPr>
                <w:rFonts w:hint="eastAsia" w:eastAsia="宋体"/>
                <w:lang w:val="en-US" w:eastAsia="zh-CN"/>
              </w:rPr>
              <w:t>提供审计专业能力、规则体系、CPA审核、报告模板与合规把控</w:t>
            </w:r>
          </w:p>
        </w:tc>
      </w:tr>
      <w:tr w14:paraId="7B0F0D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03CBE199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运营市场方（赵总）</w:t>
            </w:r>
          </w:p>
        </w:tc>
        <w:tc>
          <w:tcPr>
            <w:tcW w:w="2266" w:type="dxa"/>
          </w:tcPr>
          <w:p w14:paraId="46FABEF7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30%-40%</w:t>
            </w:r>
          </w:p>
        </w:tc>
        <w:tc>
          <w:tcPr>
            <w:tcW w:w="4239" w:type="dxa"/>
          </w:tcPr>
          <w:p w14:paraId="41C18C36">
            <w:pPr>
              <w:spacing w:after="0"/>
            </w:pPr>
            <w:r>
              <w:rPr>
                <w:rFonts w:hint="eastAsia" w:eastAsia="宋体"/>
                <w:lang w:val="en-US" w:eastAsia="zh-CN"/>
              </w:rPr>
              <w:t>负责客户获取、渠道建设、项目运营和商业化落地，建议与专业方合计控股</w:t>
            </w:r>
          </w:p>
        </w:tc>
      </w:tr>
      <w:tr w14:paraId="3E4A9B1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2926E4D8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技术开发方（远见行）</w:t>
            </w:r>
          </w:p>
        </w:tc>
        <w:tc>
          <w:tcPr>
            <w:tcW w:w="2266" w:type="dxa"/>
          </w:tcPr>
          <w:p w14:paraId="728E7E1B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10%-30%</w:t>
            </w:r>
          </w:p>
        </w:tc>
        <w:tc>
          <w:tcPr>
            <w:tcW w:w="4239" w:type="dxa"/>
          </w:tcPr>
          <w:p w14:paraId="1362555B">
            <w:pPr>
              <w:spacing w:after="0"/>
            </w:pPr>
            <w:r>
              <w:rPr>
                <w:rFonts w:hint="eastAsia" w:eastAsia="宋体"/>
                <w:lang w:val="en-US" w:eastAsia="zh-CN"/>
              </w:rPr>
              <w:t>负责系统开发和持续迭代，原则上不超过30%；如收取完整开发费，股权可适当降低</w:t>
            </w:r>
          </w:p>
        </w:tc>
      </w:tr>
      <w:tr w14:paraId="03C0884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133BCDDF"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资金方</w:t>
            </w:r>
          </w:p>
        </w:tc>
        <w:tc>
          <w:tcPr>
            <w:tcW w:w="2266" w:type="dxa"/>
          </w:tcPr>
          <w:p w14:paraId="1BC86879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10%-30%</w:t>
            </w:r>
          </w:p>
        </w:tc>
        <w:tc>
          <w:tcPr>
            <w:tcW w:w="4239" w:type="dxa"/>
          </w:tcPr>
          <w:p w14:paraId="39FDA838">
            <w:pPr>
              <w:spacing w:after="0"/>
            </w:pPr>
            <w:r>
              <w:rPr>
                <w:rFonts w:hint="eastAsia" w:eastAsia="宋体"/>
                <w:lang w:val="en-US" w:eastAsia="zh-CN"/>
              </w:rPr>
              <w:t>按实际出资、到账节奏和后续追加资金确定比例</w:t>
            </w:r>
          </w:p>
        </w:tc>
      </w:tr>
    </w:tbl>
    <w:p w14:paraId="1C7E4E8F">
      <w:pPr>
        <w:ind w:firstLine="397"/>
      </w:pPr>
      <w:r>
        <w:t>我们建议技术开发方股权控制在10%-30%之间，原则上不超过30%；如果技术方同时收取完整开发费用，则股权可适当下调。资金方股权建议控制在10%-30%之间，具体取决于首期投入、后续追加资金和风险承担。袁总方与运营方应合计保持51%以上，以确保项目经营、客户交付和商业化方向由实际业务与运营团队控股。</w:t>
      </w:r>
    </w:p>
    <w:p w14:paraId="6C3F7C12">
      <w:pPr>
        <w:ind w:firstLine="397"/>
      </w:pPr>
      <w:r>
        <w:t>推荐落地比例可先按：运营市场方35%、审计专业方25%、技术开发方25%、资金方15%测算。这样运营方与审计专业方合计60%，能够保持控股；技术方不超过30%；资金方处于10%-30%的合理区间。若资金方实际投入更高，可调整为资金方20%-25%、技术方20%-25%，但仍建议运营方与审计专业方合计不低于51%。</w:t>
      </w:r>
    </w:p>
    <w:p w14:paraId="28061AC9"/>
    <w:p w14:paraId="2B57F3A2">
      <w:pPr>
        <w:pStyle w:val="4"/>
      </w:pPr>
      <w:r>
        <w:t>知识产权归属</w:t>
      </w:r>
    </w:p>
    <w:p w14:paraId="704B4716">
      <w:pPr>
        <w:pStyle w:val="16"/>
      </w:pPr>
      <w:r>
        <w:t>项目开发期间产生的技术成果归项目公司所有</w:t>
      </w:r>
    </w:p>
    <w:p w14:paraId="3B8F21C0">
      <w:pPr>
        <w:pStyle w:val="16"/>
      </w:pPr>
      <w:r>
        <w:t>技术方保留通用AI能力的复用权（不影响项目公司利益的前提下）</w:t>
      </w:r>
    </w:p>
    <w:p w14:paraId="14A623C8">
      <w:pPr>
        <w:pStyle w:val="16"/>
      </w:pPr>
      <w:r>
        <w:t>若项目公司解散，各方可保留一份源代码使用权</w:t>
      </w:r>
    </w:p>
    <w:p w14:paraId="004A6DEB"/>
    <w:p w14:paraId="43227DCF">
      <w:pPr>
        <w:pStyle w:val="3"/>
      </w:pPr>
      <w:r>
        <w:rPr>
          <w:color w:val="1A3C6E"/>
        </w:rPr>
        <w:t>三、实施路线图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687"/>
        <w:gridCol w:w="2224"/>
        <w:gridCol w:w="3632"/>
      </w:tblGrid>
      <w:tr w14:paraId="1915DDF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315B6835">
            <w:pPr>
              <w:spacing w:after="0"/>
            </w:pPr>
            <w:r>
              <w:rPr>
                <w:b/>
              </w:rPr>
              <w:t>阶段</w:t>
            </w:r>
          </w:p>
        </w:tc>
        <w:tc>
          <w:tcPr>
            <w:tcW w:w="1687" w:type="dxa"/>
          </w:tcPr>
          <w:p w14:paraId="4D59FC42">
            <w:pPr>
              <w:spacing w:after="0"/>
            </w:pPr>
            <w:r>
              <w:rPr>
                <w:b/>
              </w:rPr>
              <w:t>时间</w:t>
            </w:r>
          </w:p>
        </w:tc>
        <w:tc>
          <w:tcPr>
            <w:tcW w:w="2224" w:type="dxa"/>
          </w:tcPr>
          <w:p w14:paraId="05C8DD39">
            <w:pPr>
              <w:spacing w:after="0"/>
            </w:pPr>
            <w:r>
              <w:rPr>
                <w:b/>
              </w:rPr>
              <w:t>里程碑</w:t>
            </w:r>
          </w:p>
        </w:tc>
        <w:tc>
          <w:tcPr>
            <w:tcW w:w="3632" w:type="dxa"/>
          </w:tcPr>
          <w:p w14:paraId="6C904691">
            <w:pPr>
              <w:spacing w:after="0"/>
            </w:pPr>
            <w:r>
              <w:rPr>
                <w:b/>
              </w:rPr>
              <w:t>各方需配合事项</w:t>
            </w:r>
          </w:p>
        </w:tc>
      </w:tr>
      <w:tr w14:paraId="6FE97DB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263BAAA">
            <w:pPr>
              <w:spacing w:after="0"/>
            </w:pPr>
            <w:r>
              <w:t>启动</w:t>
            </w:r>
          </w:p>
        </w:tc>
        <w:tc>
          <w:tcPr>
            <w:tcW w:w="1687" w:type="dxa"/>
          </w:tcPr>
          <w:p w14:paraId="23E1A4C0">
            <w:pPr>
              <w:spacing w:after="0"/>
            </w:pPr>
            <w:r>
              <w:t>第1周</w:t>
            </w:r>
          </w:p>
        </w:tc>
        <w:tc>
          <w:tcPr>
            <w:tcW w:w="2224" w:type="dxa"/>
          </w:tcPr>
          <w:p w14:paraId="01E47756">
            <w:pPr>
              <w:spacing w:after="0"/>
            </w:pPr>
            <w:r>
              <w:t>确认合作框架、签订协议</w:t>
            </w:r>
          </w:p>
        </w:tc>
        <w:tc>
          <w:tcPr>
            <w:tcW w:w="3632" w:type="dxa"/>
          </w:tcPr>
          <w:p w14:paraId="4E9D2B57">
            <w:pPr>
              <w:spacing w:after="0"/>
            </w:pPr>
            <w:r>
              <w:t>各方确认分工、资金投入与股权框架</w:t>
            </w:r>
          </w:p>
        </w:tc>
      </w:tr>
      <w:tr w14:paraId="7E5AFD6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27A2E7C">
            <w:pPr>
              <w:spacing w:after="0"/>
            </w:pPr>
            <w:r>
              <w:t>知识整理</w:t>
            </w:r>
          </w:p>
        </w:tc>
        <w:tc>
          <w:tcPr>
            <w:tcW w:w="1687" w:type="dxa"/>
          </w:tcPr>
          <w:p w14:paraId="7DFD6943">
            <w:pPr>
              <w:spacing w:after="0"/>
            </w:pPr>
            <w:r>
              <w:t>第2-3周</w:t>
            </w:r>
          </w:p>
        </w:tc>
        <w:tc>
          <w:tcPr>
            <w:tcW w:w="2224" w:type="dxa"/>
          </w:tcPr>
          <w:p w14:paraId="2C563D8C">
            <w:pPr>
              <w:spacing w:after="0"/>
            </w:pPr>
            <w:r>
              <w:t>审计规则结构化入库</w:t>
            </w:r>
          </w:p>
        </w:tc>
        <w:tc>
          <w:tcPr>
            <w:tcW w:w="3632" w:type="dxa"/>
          </w:tcPr>
          <w:p w14:paraId="30A2B95B">
            <w:pPr>
              <w:spacing w:after="0"/>
            </w:pPr>
            <w:r>
              <w:t>邓主管提供审计规则清单</w:t>
            </w:r>
            <w:r>
              <w:br w:type="textWrapping"/>
            </w:r>
            <w:r>
              <w:t>+3-5份典型报告模板</w:t>
            </w:r>
          </w:p>
        </w:tc>
      </w:tr>
      <w:tr w14:paraId="1F0A171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10C3BEE">
            <w:pPr>
              <w:spacing w:after="0"/>
            </w:pPr>
            <w:r>
              <w:t>核心开发</w:t>
            </w:r>
          </w:p>
        </w:tc>
        <w:tc>
          <w:tcPr>
            <w:tcW w:w="1687" w:type="dxa"/>
          </w:tcPr>
          <w:p w14:paraId="1DA3D1F4">
            <w:pPr>
              <w:spacing w:after="0"/>
            </w:pPr>
            <w:r>
              <w:t>第4-8周</w:t>
            </w:r>
          </w:p>
        </w:tc>
        <w:tc>
          <w:tcPr>
            <w:tcW w:w="2224" w:type="dxa"/>
          </w:tcPr>
          <w:p w14:paraId="1E65C700">
            <w:pPr>
              <w:spacing w:after="0"/>
            </w:pPr>
            <w:r>
              <w:t>内测版</w:t>
            </w:r>
          </w:p>
        </w:tc>
        <w:tc>
          <w:tcPr>
            <w:tcW w:w="3632" w:type="dxa"/>
          </w:tcPr>
          <w:p w14:paraId="27C288E2">
            <w:pPr>
              <w:spacing w:after="0"/>
            </w:pPr>
            <w:r>
              <w:t>技术方开发；专业方安排1-2名会计师配合验证；资金方按节点保障开发款</w:t>
            </w:r>
            <w:r>
              <w:br w:type="textWrapping"/>
            </w:r>
          </w:p>
        </w:tc>
      </w:tr>
      <w:tr w14:paraId="21504BE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B9B7B64">
            <w:pPr>
              <w:spacing w:after="0"/>
            </w:pPr>
            <w:r>
              <w:t>试运行</w:t>
            </w:r>
          </w:p>
        </w:tc>
        <w:tc>
          <w:tcPr>
            <w:tcW w:w="1687" w:type="dxa"/>
          </w:tcPr>
          <w:p w14:paraId="0AAB8BB7">
            <w:pPr>
              <w:spacing w:after="0"/>
            </w:pPr>
            <w:r>
              <w:t>第9-10周</w:t>
            </w:r>
          </w:p>
        </w:tc>
        <w:tc>
          <w:tcPr>
            <w:tcW w:w="2224" w:type="dxa"/>
          </w:tcPr>
          <w:p w14:paraId="7317E96D">
            <w:pPr>
              <w:spacing w:after="0"/>
            </w:pPr>
            <w:r>
              <w:t>5-10份真实案例验证</w:t>
            </w:r>
          </w:p>
        </w:tc>
        <w:tc>
          <w:tcPr>
            <w:tcW w:w="3632" w:type="dxa"/>
          </w:tcPr>
          <w:p w14:paraId="2C9AB491">
            <w:pPr>
              <w:spacing w:after="0"/>
            </w:pPr>
            <w:r>
              <w:t>运营方导入首批种子客户</w:t>
            </w:r>
          </w:p>
        </w:tc>
      </w:tr>
      <w:tr w14:paraId="7A34C2E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4457CE9">
            <w:pPr>
              <w:spacing w:after="0"/>
            </w:pPr>
            <w:r>
              <w:t>上线</w:t>
            </w:r>
          </w:p>
        </w:tc>
        <w:tc>
          <w:tcPr>
            <w:tcW w:w="1687" w:type="dxa"/>
          </w:tcPr>
          <w:p w14:paraId="7DA7A49E">
            <w:pPr>
              <w:spacing w:after="0"/>
            </w:pPr>
            <w:r>
              <w:t>第11-12周</w:t>
            </w:r>
          </w:p>
        </w:tc>
        <w:tc>
          <w:tcPr>
            <w:tcW w:w="2224" w:type="dxa"/>
          </w:tcPr>
          <w:p w14:paraId="069B6A1B">
            <w:pPr>
              <w:spacing w:after="0"/>
            </w:pPr>
            <w:r>
              <w:t>正式发布</w:t>
            </w:r>
          </w:p>
        </w:tc>
        <w:tc>
          <w:tcPr>
            <w:tcW w:w="3632" w:type="dxa"/>
          </w:tcPr>
          <w:p w14:paraId="6FF67079">
            <w:pPr>
              <w:spacing w:after="0"/>
            </w:pPr>
            <w:r>
              <w:t>各方配合推广与迭代</w:t>
            </w:r>
          </w:p>
        </w:tc>
      </w:tr>
    </w:tbl>
    <w:p w14:paraId="57D03B44"/>
    <w:p w14:paraId="131FB6E9">
      <w:pPr>
        <w:pStyle w:val="3"/>
      </w:pPr>
      <w:r>
        <w:rPr>
          <w:color w:val="1A3C6E"/>
        </w:rPr>
        <w:t>四、后续配合事项</w:t>
      </w:r>
    </w:p>
    <w:p w14:paraId="2A4553AC">
      <w:pPr>
        <w:ind w:firstLine="397"/>
      </w:pPr>
      <w:r>
        <w:t>为了让项目尽早启动，有几项工作需要各位协助：</w:t>
      </w:r>
    </w:p>
    <w:p w14:paraId="7F523C68">
      <w:pPr>
        <w:pStyle w:val="4"/>
      </w:pPr>
      <w:r>
        <w:t>审计专业方（袁总团队）</w:t>
      </w:r>
    </w:p>
    <w:p w14:paraId="4B3A66F4">
      <w:pPr>
        <w:pStyle w:val="16"/>
      </w:pPr>
      <w:r>
        <w:t>由邓玉婷主管牵头，输出一份详细的审计规则清单（风险扫描点、核对逻辑等）</w:t>
      </w:r>
    </w:p>
    <w:p w14:paraId="5E711904">
      <w:pPr>
        <w:pStyle w:val="16"/>
      </w:pPr>
      <w:r>
        <w:t>提供3-5份不同行业的典型审计报告模板（脱敏后即可）</w:t>
      </w:r>
    </w:p>
    <w:p w14:paraId="48C93573">
      <w:pPr>
        <w:pStyle w:val="16"/>
      </w:pPr>
      <w:r>
        <w:t>明确CPA签字流程及相关合规要求</w:t>
      </w:r>
    </w:p>
    <w:p w14:paraId="3604817A">
      <w:pPr>
        <w:pStyle w:val="4"/>
      </w:pPr>
      <w:r>
        <w:t>运营市场方（赵总）</w:t>
      </w:r>
    </w:p>
    <w:p w14:paraId="48CF5547">
      <w:pPr>
        <w:pStyle w:val="16"/>
      </w:pPr>
      <w:r>
        <w:t>目标客户画像梳理（什么类型的企业、谁做决策、痛点是什么）</w:t>
      </w:r>
    </w:p>
    <w:p w14:paraId="2B851CCA">
      <w:pPr>
        <w:pStyle w:val="16"/>
      </w:pPr>
      <w:r>
        <w:t>首批3-5个种子客户名单</w:t>
      </w:r>
    </w:p>
    <w:p w14:paraId="0E1ADC7C">
      <w:pPr>
        <w:pStyle w:val="16"/>
      </w:pPr>
      <w:r>
        <w:t>渠道拓展思路（代理记账公司、商会等）</w:t>
      </w:r>
    </w:p>
    <w:p w14:paraId="49FA4598">
      <w:pPr>
        <w:pStyle w:val="4"/>
      </w:pPr>
      <w:r>
        <w:t>技术方（远见行）</w:t>
      </w:r>
    </w:p>
    <w:p w14:paraId="66380FF6">
      <w:pPr>
        <w:pStyle w:val="16"/>
      </w:pPr>
      <w:r>
        <w:t>根据规则清单进行开发工作量精确评估</w:t>
      </w:r>
    </w:p>
    <w:p w14:paraId="540263A5">
      <w:pPr>
        <w:pStyle w:val="16"/>
      </w:pPr>
      <w:r>
        <w:t>出具详细技术方案文档</w:t>
      </w:r>
    </w:p>
    <w:p w14:paraId="31E0F50C">
      <w:pPr>
        <w:pStyle w:val="16"/>
      </w:pPr>
      <w:r>
        <w:t>做好随时启动的技术准备</w:t>
      </w:r>
    </w:p>
    <w:p w14:paraId="2121ACF7">
      <w:pPr>
        <w:pStyle w:val="16"/>
        <w:numPr>
          <w:ilvl w:val="0"/>
          <w:numId w:val="0"/>
        </w:numPr>
        <w:ind w:leftChars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资金方</w:t>
      </w:r>
    </w:p>
    <w:p w14:paraId="533E5176">
      <w:pPr>
        <w:pStyle w:val="16"/>
      </w:pPr>
      <w:r>
        <w:t>确认首期出资金额、到账时间及后续追加资金安排</w:t>
      </w:r>
    </w:p>
    <w:p w14:paraId="7007D0DF">
      <w:pPr>
        <w:pStyle w:val="16"/>
      </w:pPr>
      <w:r>
        <w:t>确认资金使用审批机制和共管账户安排</w:t>
      </w:r>
    </w:p>
    <w:p w14:paraId="019AA273">
      <w:pPr>
        <w:pStyle w:val="16"/>
      </w:pPr>
      <w:r>
        <w:t>明确资金方股权释放、退出及未按期出资的处理方式</w:t>
      </w:r>
    </w:p>
    <w:p w14:paraId="6B20C12E"/>
    <w:p w14:paraId="7CC57D4F">
      <w:pPr>
        <w:ind w:firstLine="397"/>
      </w:pPr>
      <w:r>
        <w:t>以上是我们的初步想法，几位有补充或调整意见，随时沟通。这份规划的核心是：把事做成，让专业方、运营方、技术方和资金方都有合理的回报，同时确保项目控制权与实际经营责任相匹配。</w:t>
      </w:r>
    </w:p>
    <w:p w14:paraId="50D51747">
      <w:pPr>
        <w:ind w:firstLine="397"/>
      </w:pPr>
      <w:r>
        <w:t>期待瑞兴在AI审计这个方向上，我们能一起做点不一样的事。</w:t>
      </w:r>
    </w:p>
    <w:p w14:paraId="3C303CC3"/>
    <w:p w14:paraId="65F30BD4">
      <w:pPr>
        <w:jc w:val="center"/>
      </w:pPr>
    </w:p>
    <w:sectPr>
      <w:pgSz w:w="12240" w:h="15840"/>
      <w:pgMar w:top="1417" w:right="1587" w:bottom="1417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84" w:lineRule="auto"/>
      </w:pPr>
      <w:r>
        <w:separator/>
      </w:r>
    </w:p>
  </w:footnote>
  <w:footnote w:type="continuationSeparator" w:id="1">
    <w:p>
      <w:pPr>
        <w:spacing w:before="0" w:after="0" w:line="38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0A62B34"/>
    <w:rsid w:val="71092B77"/>
    <w:rsid w:val="77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84" w:lineRule="auto"/>
    </w:pPr>
    <w:rPr>
      <w:rFonts w:ascii="微软雅黑" w:hAnsi="微软雅黑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1888</Words>
  <Characters>2094</Characters>
  <Lines>0</Lines>
  <Paragraphs>0</Paragraphs>
  <TotalTime>13</TotalTime>
  <ScaleCrop>false</ScaleCrop>
  <LinksUpToDate>false</LinksUpToDate>
  <CharactersWithSpaces>2113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V</cp:lastModifiedBy>
  <dcterms:modified xsi:type="dcterms:W3CDTF">2026-06-10T05:12:12Z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C96B52AB1F924B41986E8FA7D1CFE2CC_13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