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C695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AI 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领域</w:t>
      </w:r>
      <w:r>
        <w:rPr>
          <w:rFonts w:ascii="Arial" w:hAnsi="Arial" w:eastAsia="等线" w:cs="Arial"/>
          <w:b/>
          <w:sz w:val="52"/>
        </w:rPr>
        <w:t>品牌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表现</w:t>
      </w:r>
      <w:r>
        <w:rPr>
          <w:rFonts w:ascii="Arial" w:hAnsi="Arial" w:eastAsia="等线" w:cs="Arial"/>
          <w:b/>
          <w:sz w:val="52"/>
        </w:rPr>
        <w:t>指数</w:t>
      </w:r>
    </w:p>
    <w:p w14:paraId="7619B699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联合研发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合作</w:t>
      </w:r>
      <w:bookmarkStart w:id="15" w:name="_GoBack"/>
      <w:bookmarkEnd w:id="15"/>
      <w:r>
        <w:rPr>
          <w:rFonts w:hint="eastAsia" w:ascii="Arial" w:hAnsi="Arial" w:eastAsia="等线" w:cs="Arial"/>
          <w:b/>
          <w:sz w:val="52"/>
          <w:lang w:val="en-US" w:eastAsia="zh-CN"/>
        </w:rPr>
        <w:t>框架</w:t>
      </w:r>
      <w:r>
        <w:rPr>
          <w:rFonts w:ascii="Arial" w:hAnsi="Arial" w:eastAsia="等线" w:cs="Arial"/>
          <w:b/>
          <w:sz w:val="52"/>
        </w:rPr>
        <w:t>协议</w:t>
      </w:r>
    </w:p>
    <w:p w14:paraId="72B12134">
      <w:pPr>
        <w:spacing w:before="120" w:after="120" w:line="288" w:lineRule="auto"/>
        <w:ind w:left="0"/>
        <w:jc w:val="left"/>
      </w:pP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5456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64C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 xml:space="preserve">      本协议由国家广告研究院（以下简称“甲方”）与四川远见行人工智能科技有限公司（以下简称“乙方”）在平等、友好、合作共赢的基础上，经充分协商达成一致。双方愿依托各自专业优势，推进《AI </w:t>
            </w:r>
            <w:r>
              <w:rPr>
                <w:rFonts w:hint="eastAsia" w:ascii="Arial" w:hAnsi="Arial" w:eastAsia="等线" w:cs="Arial"/>
                <w:b/>
                <w:color w:val="646A73"/>
                <w:sz w:val="22"/>
                <w:lang w:val="en-US" w:eastAsia="zh-CN"/>
              </w:rPr>
              <w:t>领域</w:t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>品牌</w:t>
            </w:r>
            <w:r>
              <w:rPr>
                <w:rFonts w:hint="eastAsia" w:ascii="Arial" w:hAnsi="Arial" w:eastAsia="等线" w:cs="Arial"/>
                <w:b/>
                <w:color w:val="646A73"/>
                <w:sz w:val="22"/>
                <w:lang w:val="en-US" w:eastAsia="zh-CN"/>
              </w:rPr>
              <w:t>表现</w:t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>指数</w:t>
            </w:r>
            <w:r>
              <w:rPr>
                <w:rFonts w:hint="eastAsia" w:ascii="Arial" w:hAnsi="Arial" w:eastAsia="等线" w:cs="Arial"/>
                <w:b/>
                <w:color w:val="646A73"/>
                <w:sz w:val="22"/>
                <w:lang w:val="en-US" w:eastAsia="zh-CN"/>
              </w:rPr>
              <w:t>报告</w:t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>》和相关研究成果的建设与发布。</w:t>
            </w:r>
          </w:p>
        </w:tc>
      </w:tr>
    </w:tbl>
    <w:p w14:paraId="5AD7A5AB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8E07CE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一、合作背景与共同愿景</w:t>
      </w:r>
      <w:bookmarkEnd w:id="0"/>
    </w:p>
    <w:p w14:paraId="78D4B8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随着人工智能技术的深入发展，品牌在 AI 生态中的呈现方式、内容引用机制与传播路径均发生深刻变化。为推动我国品牌在智能传播时代的建设与提升，双方拟联合成立项目组开展：</w:t>
      </w:r>
    </w:p>
    <w:p w14:paraId="6E6207C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 xml:space="preserve">《AI 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领域</w:t>
      </w:r>
      <w:r>
        <w:rPr>
          <w:rFonts w:ascii="Arial" w:hAnsi="Arial" w:eastAsia="等线" w:cs="Arial"/>
          <w:b/>
          <w:sz w:val="22"/>
        </w:rPr>
        <w:t>品牌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表现</w:t>
      </w:r>
      <w:r>
        <w:rPr>
          <w:rFonts w:ascii="Arial" w:hAnsi="Arial" w:eastAsia="等线" w:cs="Arial"/>
          <w:b/>
          <w:sz w:val="22"/>
        </w:rPr>
        <w:t>指数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报告</w:t>
      </w:r>
      <w:r>
        <w:rPr>
          <w:rFonts w:ascii="Arial" w:hAnsi="Arial" w:eastAsia="等线" w:cs="Arial"/>
          <w:b/>
          <w:sz w:val="22"/>
        </w:rPr>
        <w:t>》研究工作</w:t>
      </w:r>
    </w:p>
    <w:p w14:paraId="7722747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年度白皮书编制及发布</w:t>
      </w:r>
    </w:p>
    <w:p w14:paraId="48680FE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指数体系、指标框架与研究方法的建设</w:t>
      </w:r>
    </w:p>
    <w:p w14:paraId="6D429F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双方共同愿景是：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D3E7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369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 xml:space="preserve">通过权威机构与技术力量的有机结合，构建我国 AI </w:t>
            </w:r>
            <w:r>
              <w:rPr>
                <w:rFonts w:hint="eastAsia" w:ascii="Arial" w:hAnsi="Arial" w:eastAsia="等线" w:cs="Arial"/>
                <w:b/>
                <w:color w:val="646A73"/>
                <w:sz w:val="22"/>
                <w:lang w:val="en-US" w:eastAsia="zh-CN"/>
              </w:rPr>
              <w:t>领域</w:t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>品牌</w:t>
            </w:r>
            <w:r>
              <w:rPr>
                <w:rFonts w:hint="eastAsia" w:ascii="Arial" w:hAnsi="Arial" w:eastAsia="等线" w:cs="Arial"/>
                <w:b/>
                <w:color w:val="646A73"/>
                <w:sz w:val="22"/>
                <w:lang w:val="en-US" w:eastAsia="zh-CN"/>
              </w:rPr>
              <w:t>表现</w:t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>评价体系，促进行业健康发展，形成具备社会与实践指导意义的研究成果。</w:t>
            </w:r>
          </w:p>
        </w:tc>
      </w:tr>
    </w:tbl>
    <w:p w14:paraId="67C66ED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F0147B0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二、合作内容与工作机制</w:t>
      </w:r>
      <w:bookmarkEnd w:id="1"/>
    </w:p>
    <w:p w14:paraId="4DC5D1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双方基于各自优势，共同推进以下工作：</w:t>
      </w:r>
    </w:p>
    <w:p w14:paraId="3FC4EF4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 xml:space="preserve">联合设计 AI 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领域</w:t>
      </w:r>
      <w:r>
        <w:rPr>
          <w:rFonts w:ascii="Arial" w:hAnsi="Arial" w:eastAsia="等线" w:cs="Arial"/>
          <w:b/>
          <w:sz w:val="22"/>
        </w:rPr>
        <w:t>品牌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发展</w:t>
      </w:r>
      <w:r>
        <w:rPr>
          <w:rFonts w:ascii="Arial" w:hAnsi="Arial" w:eastAsia="等线" w:cs="Arial"/>
          <w:b/>
          <w:sz w:val="22"/>
        </w:rPr>
        <w:t>指数的指标体系与研究框架；</w:t>
      </w:r>
    </w:p>
    <w:p w14:paraId="6991271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共同编制《</w:t>
      </w:r>
      <w:r>
        <w:rPr>
          <w:rFonts w:hint="eastAsia" w:ascii="Arial" w:hAnsi="Arial" w:eastAsia="等线" w:cs="Arial"/>
          <w:b/>
          <w:sz w:val="22"/>
          <w:lang w:eastAsia="zh-CN"/>
        </w:rPr>
        <w:t>（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年度）</w:t>
      </w:r>
      <w:r>
        <w:rPr>
          <w:rFonts w:ascii="Arial" w:hAnsi="Arial" w:eastAsia="等线" w:cs="Arial"/>
          <w:b/>
          <w:sz w:val="22"/>
        </w:rPr>
        <w:t>AI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领域</w:t>
      </w:r>
      <w:r>
        <w:rPr>
          <w:rFonts w:ascii="Arial" w:hAnsi="Arial" w:eastAsia="等线" w:cs="Arial"/>
          <w:b/>
          <w:sz w:val="22"/>
        </w:rPr>
        <w:t>品牌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表现</w:t>
      </w:r>
      <w:r>
        <w:rPr>
          <w:rFonts w:ascii="Arial" w:hAnsi="Arial" w:eastAsia="等线" w:cs="Arial"/>
          <w:b/>
          <w:sz w:val="22"/>
        </w:rPr>
        <w:t>指数报告》；</w:t>
      </w:r>
    </w:p>
    <w:p w14:paraId="0BBE34B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开展行业研究、案例分析、趋势洞察等系列研究活动；</w:t>
      </w:r>
    </w:p>
    <w:p w14:paraId="00E327B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共同组织或参与与指数相关的发布会、论坛、研讨会等；</w:t>
      </w:r>
    </w:p>
    <w:p w14:paraId="577581A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积极推动指数体系在行业中的宣传与应用；</w:t>
      </w:r>
    </w:p>
    <w:p w14:paraId="318C881C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在适当场景下开展课题合作、地方项目、企业咨询等延展合作。</w:t>
      </w:r>
    </w:p>
    <w:p w14:paraId="49B616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双方将在尊重彼此决策体系的前提下，通过定期沟通协调推进工作。</w:t>
      </w:r>
    </w:p>
    <w:p w14:paraId="4ADAF1D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690AED4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三、甲方职责（以权威与指导为主）</w:t>
      </w:r>
      <w:bookmarkEnd w:id="2"/>
    </w:p>
    <w:p w14:paraId="6F7F2E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甲方作为行业权威机构，将：</w:t>
      </w:r>
    </w:p>
    <w:p w14:paraId="21057E38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担任指数与报告的主办或联合主办单位；</w:t>
      </w:r>
    </w:p>
    <w:p w14:paraId="18E9759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负责研究工作的 </w:t>
      </w:r>
      <w:r>
        <w:rPr>
          <w:rFonts w:ascii="Arial" w:hAnsi="Arial" w:eastAsia="等线" w:cs="Arial"/>
          <w:b/>
          <w:sz w:val="22"/>
        </w:rPr>
        <w:t>学术指导、理论审核与专业把关</w:t>
      </w:r>
      <w:r>
        <w:rPr>
          <w:rFonts w:ascii="Arial" w:hAnsi="Arial" w:eastAsia="等线" w:cs="Arial"/>
          <w:sz w:val="22"/>
        </w:rPr>
        <w:t>；</w:t>
      </w:r>
    </w:p>
    <w:p w14:paraId="4E407B2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协调专家资源，对指数体系与报告内容提供 </w:t>
      </w:r>
      <w:r>
        <w:rPr>
          <w:rFonts w:ascii="Arial" w:hAnsi="Arial" w:eastAsia="等线" w:cs="Arial"/>
          <w:b/>
          <w:sz w:val="22"/>
        </w:rPr>
        <w:t>专业评审意见</w:t>
      </w:r>
      <w:r>
        <w:rPr>
          <w:rFonts w:ascii="Arial" w:hAnsi="Arial" w:eastAsia="等线" w:cs="Arial"/>
          <w:sz w:val="22"/>
        </w:rPr>
        <w:t>；</w:t>
      </w:r>
    </w:p>
    <w:p w14:paraId="219E5D76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适时提供</w:t>
      </w:r>
      <w:r>
        <w:rPr>
          <w:rFonts w:hint="eastAsia" w:ascii="Arial" w:hAnsi="Arial" w:eastAsia="等线" w:cs="Arial"/>
          <w:sz w:val="22"/>
          <w:lang w:val="en-US" w:eastAsia="zh-CN"/>
        </w:rPr>
        <w:t>全国媒体、</w:t>
      </w:r>
      <w:r>
        <w:rPr>
          <w:rFonts w:ascii="Arial" w:hAnsi="Arial" w:eastAsia="等线" w:cs="Arial"/>
          <w:sz w:val="22"/>
        </w:rPr>
        <w:t>行业协会、地方机构与重点企业的资源支持；</w:t>
      </w:r>
    </w:p>
    <w:p w14:paraId="41D2E7AA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指导并参与指数发布、论坛等公共传播活动；</w:t>
      </w:r>
    </w:p>
    <w:p w14:paraId="7215C572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支持指数体系在品牌传播、公关管理等领域的行业应用探索。</w:t>
      </w:r>
    </w:p>
    <w:p w14:paraId="689BA20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FAF0ECA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四、乙方职责（以技术研发与专业能力为主）</w:t>
      </w:r>
      <w:bookmarkEnd w:id="3"/>
    </w:p>
    <w:p w14:paraId="423020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乙方作为技术与方法论提供方，将：</w:t>
      </w:r>
    </w:p>
    <w:p w14:paraId="2CAB663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主导指数模型的整体构建，包括：</w:t>
      </w:r>
    </w:p>
    <w:p w14:paraId="2CA91BE2">
      <w:pPr>
        <w:numPr>
          <w:ilvl w:val="0"/>
          <w:numId w:val="1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指标设计、权重研究、逻辑框架</w:t>
      </w:r>
    </w:p>
    <w:p w14:paraId="109AEDF5">
      <w:pPr>
        <w:numPr>
          <w:ilvl w:val="0"/>
          <w:numId w:val="1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指数可视化呈现方式</w:t>
      </w:r>
    </w:p>
    <w:p w14:paraId="0CAD991B">
      <w:pPr>
        <w:numPr>
          <w:ilvl w:val="0"/>
          <w:numId w:val="1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研究案例分析</w:t>
      </w:r>
    </w:p>
    <w:p w14:paraId="555A50DA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提供指数研究所需的技术工具、数据处理能力与计算支持；</w:t>
      </w:r>
    </w:p>
    <w:p w14:paraId="2A0A46DB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负责指数结果的生成、展示及报告撰写工作；</w:t>
      </w:r>
    </w:p>
    <w:p w14:paraId="798FD94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配合甲方完成成果审核、专家汇审及发布前优化；</w:t>
      </w:r>
    </w:p>
    <w:p w14:paraId="05BD89C1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作为</w:t>
      </w:r>
      <w:r>
        <w:rPr>
          <w:rFonts w:ascii="Arial" w:hAnsi="Arial" w:eastAsia="等线" w:cs="Arial"/>
          <w:b/>
          <w:sz w:val="22"/>
        </w:rPr>
        <w:t>技术联合署名单位</w:t>
      </w:r>
      <w:r>
        <w:rPr>
          <w:rFonts w:ascii="Arial" w:hAnsi="Arial" w:eastAsia="等线" w:cs="Arial"/>
          <w:sz w:val="22"/>
        </w:rPr>
        <w:t>参与所有成果呈现与公开活动；</w:t>
      </w:r>
    </w:p>
    <w:p w14:paraId="032F206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在成果推广中为合作品牌、机构提供专业解读与落地支持。</w:t>
      </w:r>
    </w:p>
    <w:p w14:paraId="0A5C2D4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42D9868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五、知识产权与成果归属</w:t>
      </w:r>
      <w:bookmarkEnd w:id="4"/>
    </w:p>
    <w:p w14:paraId="50E00AD2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color w:val="3370FF"/>
          <w:sz w:val="32"/>
        </w:rPr>
        <w:t xml:space="preserve">1. </w:t>
      </w:r>
      <w:r>
        <w:rPr>
          <w:rFonts w:ascii="Arial" w:hAnsi="Arial" w:eastAsia="等线" w:cs="Arial"/>
          <w:b/>
          <w:sz w:val="32"/>
        </w:rPr>
        <w:t>乙方原有系统的权利确认</w:t>
      </w:r>
      <w:bookmarkEnd w:id="5"/>
    </w:p>
    <w:p w14:paraId="1046E9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甲方充分尊重并认可：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625A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F67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乙方在本合作启动前已自主开发完成“AI 品牌</w:t>
            </w:r>
            <w:r>
              <w:rPr>
                <w:rFonts w:hint="eastAsia" w:ascii="Arial" w:hAnsi="Arial" w:eastAsia="等线" w:cs="Arial"/>
                <w:b/>
                <w:color w:val="646A73"/>
                <w:sz w:val="22"/>
                <w:lang w:val="en-US" w:eastAsia="zh-CN"/>
              </w:rPr>
              <w:t>表现</w:t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>监测诊断分析系统”及其配套算法、模块与功能。上述系统及全部技术成果的知识产权归乙方所有。</w:t>
            </w:r>
          </w:p>
        </w:tc>
      </w:tr>
    </w:tbl>
    <w:p w14:paraId="2D76050C">
      <w:pPr>
        <w:spacing w:before="120" w:after="120" w:line="288" w:lineRule="auto"/>
        <w:ind w:left="0"/>
        <w:jc w:val="left"/>
      </w:pPr>
    </w:p>
    <w:p w14:paraId="14BB76B5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color w:val="3370FF"/>
          <w:sz w:val="32"/>
        </w:rPr>
        <w:t xml:space="preserve">2. </w:t>
      </w:r>
      <w:r>
        <w:rPr>
          <w:rFonts w:ascii="Arial" w:hAnsi="Arial" w:eastAsia="等线" w:cs="Arial"/>
          <w:b/>
          <w:sz w:val="32"/>
        </w:rPr>
        <w:t>指数体系的知识产权</w:t>
      </w:r>
      <w:bookmarkEnd w:id="6"/>
    </w:p>
    <w:p w14:paraId="171B5F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双方同意：</w:t>
      </w:r>
    </w:p>
    <w:p w14:paraId="5562F49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指数的</w:t>
      </w:r>
      <w:r>
        <w:rPr>
          <w:rFonts w:ascii="Arial" w:hAnsi="Arial" w:eastAsia="等线" w:cs="Arial"/>
          <w:b/>
          <w:sz w:val="22"/>
        </w:rPr>
        <w:t>概念体系、指标框架、结构图谱、方法论阐述</w:t>
      </w:r>
      <w:r>
        <w:rPr>
          <w:rFonts w:ascii="Arial" w:hAnsi="Arial" w:eastAsia="等线" w:cs="Arial"/>
          <w:sz w:val="22"/>
        </w:rPr>
        <w:t>属双方共同研究成果；</w:t>
      </w:r>
    </w:p>
    <w:p w14:paraId="75A948D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报告中公开展示的文字部分由双方共同享有署名权；</w:t>
      </w:r>
    </w:p>
    <w:p w14:paraId="3CFCE379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在不涉及核心技术细节的前提下，双方均可在学术交流或政府课题中引用。</w:t>
      </w:r>
    </w:p>
    <w:p w14:paraId="7D24CA19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color w:val="3370FF"/>
          <w:sz w:val="32"/>
        </w:rPr>
        <w:t xml:space="preserve">3. </w:t>
      </w:r>
      <w:r>
        <w:rPr>
          <w:rFonts w:ascii="Arial" w:hAnsi="Arial" w:eastAsia="等线" w:cs="Arial"/>
          <w:b/>
          <w:sz w:val="32"/>
        </w:rPr>
        <w:t>指数的可执行模型与底层算法</w:t>
      </w:r>
      <w:bookmarkEnd w:id="7"/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06F8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CA6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指数的执行模型、算法逻辑、参数设置、计算规则等专业技术要素，由乙方独立研发并承担技术维护责任，相关知识产权归乙方所有。</w:t>
            </w:r>
          </w:p>
        </w:tc>
      </w:tr>
    </w:tbl>
    <w:p w14:paraId="449CD12E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color w:val="3370FF"/>
          <w:sz w:val="32"/>
        </w:rPr>
        <w:t xml:space="preserve">4. </w:t>
      </w:r>
      <w:r>
        <w:rPr>
          <w:rFonts w:ascii="Arial" w:hAnsi="Arial" w:eastAsia="等线" w:cs="Arial"/>
          <w:b/>
          <w:sz w:val="32"/>
        </w:rPr>
        <w:t>白皮书成果的署名</w:t>
      </w:r>
      <w:bookmarkEnd w:id="8"/>
    </w:p>
    <w:p w14:paraId="48C3D2A0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署名顺序按双方协商确定，一般为：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国家广告研究院 +技术开发方</w:t>
      </w:r>
    </w:p>
    <w:p w14:paraId="3871715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双方均可在自身渠道发布成果，但需保持内容一致并注明对方。</w:t>
      </w:r>
    </w:p>
    <w:p w14:paraId="067F5D1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5784D35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六、成果发布与传播</w:t>
      </w:r>
      <w:bookmarkEnd w:id="9"/>
    </w:p>
    <w:p w14:paraId="3A46DC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双方将按照“权威性优先、学术性主导、合作性呈现”的原则，共同推进：</w:t>
      </w:r>
    </w:p>
    <w:p w14:paraId="0CE35E7B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指数发布会</w:t>
      </w:r>
    </w:p>
    <w:p w14:paraId="22BCA100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行业论坛</w:t>
      </w:r>
    </w:p>
    <w:p w14:paraId="44A1B3D8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媒体传播</w:t>
      </w:r>
    </w:p>
    <w:p w14:paraId="73414A85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行业培训等活动</w:t>
      </w:r>
    </w:p>
    <w:p w14:paraId="7D2AFA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甲方在公共传播中负责把关权威性，乙方负责提供数据与技术支持。</w:t>
      </w:r>
    </w:p>
    <w:p w14:paraId="321832D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A160253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七、商业化合作</w:t>
      </w:r>
      <w:bookmarkEnd w:id="10"/>
    </w:p>
    <w:p w14:paraId="2E711A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未来若需要面向企业或政府开展指数应用、咨询服务等商业合作，可采取：</w:t>
      </w:r>
    </w:p>
    <w:p w14:paraId="2520D038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双方联合开展的模式</w:t>
      </w:r>
    </w:p>
    <w:p w14:paraId="7EC1E5C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甲方作为指导单位、乙方承担技术实施</w:t>
      </w:r>
    </w:p>
    <w:p w14:paraId="641FE486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收益分配另行商议，签署补充协议</w:t>
      </w:r>
    </w:p>
    <w:p w14:paraId="25B6307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B7AD229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八、保密条款</w:t>
      </w:r>
      <w:bookmarkEnd w:id="11"/>
    </w:p>
    <w:p w14:paraId="2A97FC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双方对合作期间获取的未公开信息负有保密义务，包括但不限于：</w:t>
      </w:r>
    </w:p>
    <w:p w14:paraId="29D024D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技术细节</w:t>
      </w:r>
    </w:p>
    <w:p w14:paraId="7B5A1A1F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算法逻辑</w:t>
      </w:r>
    </w:p>
    <w:p w14:paraId="1BC77E51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合作方案</w:t>
      </w:r>
    </w:p>
    <w:p w14:paraId="0F535697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数据资料</w:t>
      </w:r>
    </w:p>
    <w:p w14:paraId="3BF487E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未发布成果</w:t>
      </w:r>
    </w:p>
    <w:p w14:paraId="53CEF8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保密期限：</w:t>
      </w:r>
      <w:r>
        <w:rPr>
          <w:rFonts w:ascii="Arial" w:hAnsi="Arial" w:eastAsia="等线" w:cs="Arial"/>
          <w:b/>
          <w:sz w:val="22"/>
        </w:rPr>
        <w:t>三年</w:t>
      </w:r>
      <w:r>
        <w:rPr>
          <w:rFonts w:ascii="Arial" w:hAnsi="Arial" w:eastAsia="等线" w:cs="Arial"/>
          <w:sz w:val="22"/>
        </w:rPr>
        <w:t>。</w:t>
      </w:r>
    </w:p>
    <w:p w14:paraId="038AF840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B943BBB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九、协议期限</w:t>
      </w:r>
      <w:bookmarkEnd w:id="12"/>
    </w:p>
    <w:p w14:paraId="53E63C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协议自签署之日起生效，有效期三年。期满可续签。</w:t>
      </w:r>
    </w:p>
    <w:p w14:paraId="289F123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5991E44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十、争议解决</w:t>
      </w:r>
      <w:bookmarkEnd w:id="13"/>
    </w:p>
    <w:p w14:paraId="3F3206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发生争议时，双方应本着友好合作原则协商解决；</w:t>
      </w:r>
    </w:p>
    <w:p w14:paraId="464807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协商不成的，提交协议签署地人民法院处理。</w:t>
      </w:r>
    </w:p>
    <w:p w14:paraId="3828F09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81DF8F3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十一、签署页</w:t>
      </w:r>
      <w:bookmarkEnd w:id="14"/>
    </w:p>
    <w:p w14:paraId="074AA60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A940AF2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75E5C5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甲方：国家广告研究院</w:t>
      </w:r>
    </w:p>
    <w:p w14:paraId="3F2BED2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 </w:t>
      </w:r>
    </w:p>
    <w:p w14:paraId="0929EF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代表人：__________</w:t>
      </w:r>
    </w:p>
    <w:p w14:paraId="5A2CC0E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 </w:t>
      </w:r>
    </w:p>
    <w:p w14:paraId="4EF0CE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 年 __ 月 __ 日</w:t>
      </w:r>
    </w:p>
    <w:p w14:paraId="57FF9DE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D995E5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A98797B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  <w:r>
        <w:rPr>
          <w:rFonts w:ascii="Arial" w:hAnsi="Arial" w:eastAsia="等线" w:cs="Arial"/>
          <w:sz w:val="22"/>
        </w:rPr>
        <w:t>乙方：</w:t>
      </w:r>
      <w:r>
        <w:rPr>
          <w:rFonts w:hint="eastAsia" w:ascii="Arial" w:hAnsi="Arial" w:eastAsia="等线" w:cs="Arial"/>
          <w:sz w:val="22"/>
          <w:lang w:val="en-US" w:eastAsia="zh-CN"/>
        </w:rPr>
        <w:t>四川远见行人工智能科技有限公司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 xml:space="preserve"> </w:t>
      </w:r>
    </w:p>
    <w:p w14:paraId="5D75928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代表人：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</w:t>
      </w:r>
    </w:p>
    <w:p w14:paraId="4071E9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 年 __ 月 __ 日</w:t>
      </w:r>
    </w:p>
    <w:p w14:paraId="4CDED25D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367D6B1">
      <w:pPr>
        <w:spacing w:before="120" w:after="120" w:line="288" w:lineRule="auto"/>
        <w:ind w:left="0"/>
        <w:jc w:val="left"/>
      </w:pPr>
    </w:p>
    <w:p w14:paraId="3DAADB45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35C4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65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C8879AEF"/>
    <w:multiLevelType w:val="singleLevel"/>
    <w:tmpl w:val="C8879A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7F9FE59"/>
    <w:multiLevelType w:val="singleLevel"/>
    <w:tmpl w:val="D7F9FE5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3">
    <w:nsid w:val="DCBA6B53"/>
    <w:multiLevelType w:val="singleLevel"/>
    <w:tmpl w:val="DCBA6B53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4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F4B5D9F5"/>
    <w:multiLevelType w:val="singleLevel"/>
    <w:tmpl w:val="F4B5D9F5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6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248C179"/>
    <w:multiLevelType w:val="singleLevel"/>
    <w:tmpl w:val="0248C17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9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0E640482"/>
    <w:multiLevelType w:val="singleLevel"/>
    <w:tmpl w:val="0E64048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1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4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46A08BB8"/>
    <w:multiLevelType w:val="singleLevel"/>
    <w:tmpl w:val="46A08BB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8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4D4DC07F"/>
    <w:multiLevelType w:val="singleLevel"/>
    <w:tmpl w:val="4D4DC07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0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5A241D34"/>
    <w:multiLevelType w:val="singleLevel"/>
    <w:tmpl w:val="5A241D3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4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72183CF9"/>
    <w:multiLevelType w:val="singleLevel"/>
    <w:tmpl w:val="72183CF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7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7"/>
  </w:num>
  <w:num w:numId="2">
    <w:abstractNumId w:val="11"/>
  </w:num>
  <w:num w:numId="3">
    <w:abstractNumId w:val="32"/>
  </w:num>
  <w:num w:numId="4">
    <w:abstractNumId w:val="9"/>
  </w:num>
  <w:num w:numId="5">
    <w:abstractNumId w:val="6"/>
  </w:num>
  <w:num w:numId="6">
    <w:abstractNumId w:val="19"/>
  </w:num>
  <w:num w:numId="7">
    <w:abstractNumId w:val="23"/>
  </w:num>
  <w:num w:numId="8">
    <w:abstractNumId w:val="36"/>
  </w:num>
  <w:num w:numId="9">
    <w:abstractNumId w:val="18"/>
  </w:num>
  <w:num w:numId="10">
    <w:abstractNumId w:val="2"/>
  </w:num>
  <w:num w:numId="11">
    <w:abstractNumId w:val="24"/>
  </w:num>
  <w:num w:numId="12">
    <w:abstractNumId w:val="33"/>
  </w:num>
  <w:num w:numId="13">
    <w:abstractNumId w:val="10"/>
  </w:num>
  <w:num w:numId="14">
    <w:abstractNumId w:val="29"/>
  </w:num>
  <w:num w:numId="15">
    <w:abstractNumId w:val="15"/>
  </w:num>
  <w:num w:numId="16">
    <w:abstractNumId w:val="22"/>
  </w:num>
  <w:num w:numId="17">
    <w:abstractNumId w:val="13"/>
  </w:num>
  <w:num w:numId="18">
    <w:abstractNumId w:val="12"/>
  </w:num>
  <w:num w:numId="19">
    <w:abstractNumId w:val="4"/>
  </w:num>
  <w:num w:numId="20">
    <w:abstractNumId w:val="28"/>
  </w:num>
  <w:num w:numId="21">
    <w:abstractNumId w:val="34"/>
  </w:num>
  <w:num w:numId="22">
    <w:abstractNumId w:val="20"/>
  </w:num>
  <w:num w:numId="23">
    <w:abstractNumId w:val="27"/>
  </w:num>
  <w:num w:numId="24">
    <w:abstractNumId w:val="5"/>
  </w:num>
  <w:num w:numId="25">
    <w:abstractNumId w:val="39"/>
  </w:num>
  <w:num w:numId="26">
    <w:abstractNumId w:val="37"/>
  </w:num>
  <w:num w:numId="27">
    <w:abstractNumId w:val="8"/>
  </w:num>
  <w:num w:numId="28">
    <w:abstractNumId w:val="35"/>
  </w:num>
  <w:num w:numId="29">
    <w:abstractNumId w:val="3"/>
  </w:num>
  <w:num w:numId="30">
    <w:abstractNumId w:val="26"/>
  </w:num>
  <w:num w:numId="31">
    <w:abstractNumId w:val="1"/>
  </w:num>
  <w:num w:numId="32">
    <w:abstractNumId w:val="31"/>
  </w:num>
  <w:num w:numId="33">
    <w:abstractNumId w:val="40"/>
  </w:num>
  <w:num w:numId="34">
    <w:abstractNumId w:val="0"/>
  </w:num>
  <w:num w:numId="35">
    <w:abstractNumId w:val="21"/>
  </w:num>
  <w:num w:numId="36">
    <w:abstractNumId w:val="30"/>
  </w:num>
  <w:num w:numId="37">
    <w:abstractNumId w:val="16"/>
  </w:num>
  <w:num w:numId="38">
    <w:abstractNumId w:val="14"/>
  </w:num>
  <w:num w:numId="39">
    <w:abstractNumId w:val="25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A6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1605</Words>
  <Characters>1640</Characters>
  <TotalTime>10</TotalTime>
  <ScaleCrop>false</ScaleCrop>
  <LinksUpToDate>false</LinksUpToDate>
  <CharactersWithSpaces>1681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2025-12-10T03:30:00Z</dcterms:created>
  <dc:creator>Apache POI</dc:creator>
  <cp:lastModifiedBy>PASTA</cp:lastModifiedBy>
  <dcterms:modified xsi:type="dcterms:W3CDTF">2025-12-11T08:14:45Z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E8FF1BE26FD3454BBD15D2BAE611A60D_13</vt:lpwstr>
  </property>
</Properties>
</file>