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0DF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jc w:val="center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09D36D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jc w:val="center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开心豆罐AI搜爆“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AI品牌资产管理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服务协议</w:t>
      </w:r>
    </w:p>
    <w:p w14:paraId="2AF714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合同编号：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20260112003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</w:t>
      </w:r>
    </w:p>
    <w:p w14:paraId="591B997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甲方（品牌方）：</w:t>
      </w:r>
    </w:p>
    <w:p w14:paraId="72F2471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法定代表人 / 负责人：</w:t>
      </w:r>
    </w:p>
    <w:p w14:paraId="129D22D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</w:p>
    <w:p w14:paraId="23011F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3AD9E2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乙方（服务提供方）：</w:t>
      </w:r>
    </w:p>
    <w:p w14:paraId="333BE8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法定代表人 / 负责人：</w:t>
      </w:r>
    </w:p>
    <w:p w14:paraId="127F1F1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地址：</w:t>
      </w:r>
    </w:p>
    <w:p w14:paraId="71630F0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</w:p>
    <w:p w14:paraId="1DA88A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 w:firstLine="440" w:firstLineChars="20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鉴于甲方需提升其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品牌“黑奥秘”的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品牌资产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AIBE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管理效果，乙方具备专业的AI品牌资产管理服务能力，双方本着平等自愿、互利共赢的原则，经友好协商，达成如下协议，以资共同遵守。</w:t>
      </w:r>
    </w:p>
    <w:p w14:paraId="0DA2580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一、服务内容与目标</w:t>
      </w:r>
    </w:p>
    <w:p w14:paraId="6F7D98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firstLine="440" w:firstLineChars="200"/>
        <w:jc w:val="left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乙方为甲方提供AIBE管理服务，旨在将“黑奥秘”从被动检索对象升级为AI主动推荐的“白发转黑/防脱生发”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highlight w:val="yellow"/>
          <w:lang w:val="en-US" w:eastAsia="zh-CN" w:bidi="ar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66E8D0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jc w:val="left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（一）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服务范围与核心动作</w:t>
      </w:r>
    </w:p>
    <w:p w14:paraId="21C219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AI品牌数字资产重构（技术基建）：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清洗陈旧错误信息，构建包含“多聚磷酸钠、富勒烯”等核心技术的品牌知识图谱，</w:t>
      </w:r>
      <w:commentRangeStart w:id="0"/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部署E-E-A-T证据链</w:t>
      </w:r>
      <w:commentRangeEnd w:id="0"/>
      <w:r>
        <w:commentReference w:id="0"/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4C72BC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AIBE监测诊断系统（系统订阅）：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提供</w:t>
      </w:r>
      <w:commentRangeStart w:id="1"/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7*24h</w:t>
      </w:r>
      <w:commentRangeEnd w:id="1"/>
      <w:r>
        <w:commentReference w:id="1"/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可见度监测，实时透视竞品（如丝域等）AI声量，每月输出诊断报告。</w:t>
      </w:r>
    </w:p>
    <w:p w14:paraId="5DF46A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AI语义喂养资源包（效果执行）：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基于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5D高意图语义矩阵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（认知、场景、决策、技术、行动层），针对20个核心流量锚点进行全网信号注入。</w:t>
      </w:r>
    </w:p>
    <w:p w14:paraId="6E5E7CD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效果监测与迭代：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利用专业工具实时监测品牌在各大AI模型的表现，并根据数据反馈动态调整优化策略。</w:t>
      </w:r>
    </w:p>
    <w:p w14:paraId="071F2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jc w:val="left"/>
        <w:textAlignment w:val="auto"/>
        <w:rPr>
          <w:rFonts w:hint="eastAsia" w:ascii="等线" w:hAnsi="等线" w:eastAsia="等线" w:cs="等线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（二）服务</w:t>
      </w:r>
      <w:r>
        <w:rPr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与基础配置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 （Plus 旗舰版）</w:t>
      </w:r>
    </w:p>
    <w:p w14:paraId="222642C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leftChars="0" w:hanging="360" w:firstLineChars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服务平台：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覆盖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6大主流平台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（DeepSeek、豆包、腾讯元宝、Kimi、通义千问、纳米）</w:t>
      </w:r>
    </w:p>
    <w:p w14:paraId="1FADF53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leftChars="0" w:hanging="360" w:firstLineChars="0"/>
        <w:jc w:val="left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服务配置：</w:t>
      </w:r>
    </w:p>
    <w:p w14:paraId="57F4A3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360" w:leftChars="0" w:firstLine="440" w:firstLineChars="20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覆盖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20个核心关键词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（裂变为100个高意图触点）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328BB7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包含“白发转黑、防脱生发、秃头焦虑、视觉发量、品牌转化”五大组别。</w:t>
      </w:r>
    </w:p>
    <w:p w14:paraId="1CCD8E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（三）核心考核指标（KPI）与交付承诺</w:t>
      </w:r>
    </w:p>
    <w:p w14:paraId="2A34134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 w:firstLine="660" w:firstLineChars="30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双方约定，本服务周期的核心考核指标如下：</w:t>
      </w:r>
    </w:p>
    <w:p w14:paraId="4ABEC6F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综合覆盖率：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100个长尾问题在6大平台整体展现率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50%。</w:t>
      </w:r>
    </w:p>
    <w:p w14:paraId="1F843A1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commentRangeStart w:id="2"/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高优词表现：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针对转化意图强的50%词包（如“黑奥秘怎么样”），Top3出现概率 ≥ 80%。</w:t>
      </w:r>
      <w:commentRangeEnd w:id="2"/>
      <w:r>
        <w:commentReference w:id="2"/>
      </w:r>
    </w:p>
    <w:p w14:paraId="108836D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内容准确度：</w:t>
      </w:r>
      <w:commentRangeStart w:id="3"/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品牌幻觉率（负面/错误关联）≤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10%。</w:t>
      </w:r>
      <w:commentRangeEnd w:id="3"/>
      <w:r>
        <w:commentReference w:id="3"/>
      </w:r>
    </w:p>
    <w:p w14:paraId="1FB5FF8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交付物清单：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乙方需按月提供《执行报告》、《舆情预警》及《月度效果分析报告》。</w:t>
      </w:r>
    </w:p>
    <w:p w14:paraId="4F1133E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抽样验收机制：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以乙方提供的《月度效果分析报告》中的截图或</w:t>
      </w:r>
      <w:commentRangeStart w:id="4"/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第三方监测工具数据为准。</w:t>
      </w:r>
      <w:commentRangeEnd w:id="4"/>
      <w:r>
        <w:commentReference w:id="4"/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由于AI算法的随机性，单次搜索结果不代表整体覆盖率。</w:t>
      </w:r>
    </w:p>
    <w:p w14:paraId="401D136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保量承诺：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乙方保证每月至少完成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100篇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高质量语料的线上发布与投喂，以确保品牌声量的持续积累及AI模型的深度学习。</w:t>
      </w:r>
    </w:p>
    <w:p w14:paraId="7E0B89F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策略调整窗口：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乙方支持甲方每月进行一次关键词或问答策略的微调。如涉及跨行业、跨主体的重大品牌变更，需双方另行协商并重新评估“技术基建费”。</w:t>
      </w:r>
    </w:p>
    <w:p w14:paraId="1069EC0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（四） 资产持续性与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服务升级说明</w:t>
      </w:r>
    </w:p>
    <w:p w14:paraId="6B0E4FF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资产持续性：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甲方知悉，AI品牌资产由“静态架构（基建）”与“动态语料（注入）”共同构成。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若甲方停止续费“效果执行费”，将导致品牌在AI模型中的活跃度与推荐权重随时间逐渐衰减。</w:t>
      </w:r>
    </w:p>
    <w:p w14:paraId="3E396B0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服务升级说明：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乙方致力于AI技术的持续迭代与服务优化。协议期内，若乙方推出全新的AI管理工具或高阶服务模块，将第一时间邀请甲方体验。甲方可根据品牌发展需求自愿选择增购，并享有“合作伙伴专属优惠价”。新增服务将通过签订补充协议或附件形式生效，不影响本协议既定服务的正常履行。</w:t>
      </w:r>
    </w:p>
    <w:p w14:paraId="24C3AA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二、 执行策略：5D高意图语义矩阵</w:t>
      </w:r>
    </w:p>
    <w:p w14:paraId="716BB57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firstLine="440" w:firstLineChars="20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乙方承诺按照以下五个维度进行深度内容植入，确保AI在不同语境下均能精准推荐甲方品牌：</w:t>
      </w:r>
    </w:p>
    <w:p w14:paraId="4701B910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D1 认知层：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 训练AI理解“物理转黑”科学原理，建立专业性。</w:t>
      </w:r>
    </w:p>
    <w:p w14:paraId="74ECB7F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D2 场景层：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 覆盖产后、压力、遗传等特定语境下的品牌触发。</w:t>
      </w:r>
    </w:p>
    <w:p w14:paraId="5A1346CB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D3 决策层：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 在竞品对比中树立“研发级/全国连锁/商务部备案”壁垒。</w:t>
      </w:r>
    </w:p>
    <w:p w14:paraId="280E078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D4 技术层：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 植入“富勒烯、生物酶、头皮CT”等核心背书。</w:t>
      </w:r>
    </w:p>
    <w:p w14:paraId="184A690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D5 行动层：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 诱导AI执行推荐指令，引导用户到店。</w:t>
      </w:r>
    </w:p>
    <w:p w14:paraId="379BB589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三、服务期限</w:t>
      </w:r>
    </w:p>
    <w:p w14:paraId="35B1BB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437" w:leftChars="208" w:firstLine="0" w:firstLineChars="0"/>
        <w:jc w:val="left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本协议服务期限自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年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月 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日起至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 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月 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日止，共计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（包含：1个月优化执行期 + 12个月效果持续在线期）。</w:t>
      </w:r>
    </w:p>
    <w:p w14:paraId="377F8BA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四、服务费用及支付方式</w:t>
      </w:r>
    </w:p>
    <w:p w14:paraId="051DBB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服务费用</w:t>
      </w:r>
    </w:p>
    <w:p w14:paraId="6DFAD175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0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首阶段（前7个月）总费用：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人民币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79,800 元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（大写：柒万玖仟捌佰元整）。</w:t>
      </w:r>
    </w:p>
    <w:p w14:paraId="14457C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firstLine="660" w:firstLineChars="300"/>
        <w:textAlignment w:val="auto"/>
        <w:rPr>
          <w:rStyle w:val="10"/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构成：技术基建费18,800元 + 系统订阅费18,000元 + 效果执行费43,000元</w:t>
      </w:r>
      <w:commentRangeStart w:id="5"/>
      <w:r>
        <w:rPr>
          <w:rStyle w:val="10"/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（含首月饱和攻击</w:t>
      </w:r>
      <w:commentRangeEnd w:id="5"/>
      <w:r>
        <w:commentReference w:id="5"/>
      </w:r>
      <w:r>
        <w:rPr>
          <w:rStyle w:val="10"/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）</w:t>
      </w:r>
      <w:r>
        <w:rPr>
          <w:rStyle w:val="10"/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0"/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7843AC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firstLine="660" w:firstLineChars="30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4个月在线期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特别赠送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094FC1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0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第二阶段（第8个月起）月费：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人民币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,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00 元/月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07A14D3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0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特别赠送：</w:t>
      </w:r>
      <w:r>
        <w:rPr>
          <w:rStyle w:val="9"/>
          <w:rFonts w:hint="eastAsia" w:ascii="等线" w:hAnsi="等线" w:eastAsia="等线" w:cs="等线"/>
          <w:b w:val="0"/>
          <w:bCs w:val="0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GEO高阶咨询</w:t>
      </w:r>
      <w:r>
        <w:rPr>
          <w:rStyle w:val="9"/>
          <w:rFonts w:hint="eastAsia" w:ascii="等线" w:hAnsi="等线" w:eastAsia="等线" w:cs="等线"/>
          <w:b w:val="0"/>
          <w:bCs w:val="0"/>
          <w:i w:val="0"/>
          <w:iCs w:val="0"/>
          <w:caps w:val="0"/>
          <w:color w:val="000000" w:themeColor="text1"/>
          <w:spacing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9"/>
          <w:rFonts w:hint="eastAsia" w:ascii="等线" w:hAnsi="等线" w:eastAsia="等线" w:cs="等线"/>
          <w:b w:val="0"/>
          <w:bCs w:val="0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价值12,800元的《黑奥秘·GEO战略洞察白皮书》一份。</w:t>
      </w:r>
    </w:p>
    <w:p w14:paraId="38D57B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（二）支付方式</w:t>
      </w:r>
    </w:p>
    <w:p w14:paraId="3F1D4A8E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首阶段预付款：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本协议签订后5个工作日内，甲方支付首阶段总费用的50%，即人民币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39,900 元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2CFAD07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首阶段尾款：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甲方收到乙方提交的《AI品牌资产管理服务效果报告》并确认服务达标后两个月内（即首个季度末），支付首阶段剩余50%，即人民币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39,900 元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0649D745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后续月费支付：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自第8个月起，甲方需按月支付1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00元服务费，支付时间为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前一个月25日前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1F6183E4">
      <w:pPr>
        <w:keepNext w:val="0"/>
        <w:keepLines w:val="0"/>
        <w:widowControl/>
        <w:suppressLineNumbers w:val="0"/>
        <w:ind w:firstLine="660" w:firstLineChars="300"/>
        <w:jc w:val="left"/>
        <w:rPr>
          <w:rStyle w:val="10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注：服务达标标准以本协议第一条第（三）款约定的核心指标为准。若甲方在收到报告后 </w:t>
      </w:r>
      <w:r>
        <w:rPr>
          <w:rStyle w:val="10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0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个工作日内未提出书面异议，则视为对报告及服务达标的认可。</w:t>
      </w:r>
    </w:p>
    <w:p w14:paraId="0DB3E8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（三）乙方收款账户信息</w:t>
      </w:r>
    </w:p>
    <w:p w14:paraId="232DB2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630" w:leftChars="300" w:right="0"/>
        <w:jc w:val="left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甲方支付的所有款项均应汇入乙方以下指定账户：</w:t>
      </w:r>
    </w:p>
    <w:p w14:paraId="56084C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630" w:leftChars="300" w:right="0"/>
        <w:jc w:val="left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账户名称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2CB16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630" w:leftChars="300" w:right="0"/>
        <w:jc w:val="left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账户号码：</w:t>
      </w:r>
    </w:p>
    <w:p w14:paraId="1124E0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630" w:leftChars="300" w:right="0"/>
        <w:jc w:val="left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开户银行：</w:t>
      </w:r>
    </w:p>
    <w:p w14:paraId="553BE2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right="0"/>
        <w:jc w:val="left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）发票开具</w:t>
      </w:r>
    </w:p>
    <w:p w14:paraId="3D51AF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 w:firstLine="440" w:firstLineChars="20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乙方在收到甲方每笔款项后 5 个工作日内，应向甲方开具等额合法有效的增值税发票（发票类型：</w:t>
      </w:r>
      <w:r>
        <w:rPr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>咨询服务费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）。发票开具信息以甲方提前提供的《开票信息确认单》为准。</w:t>
      </w:r>
    </w:p>
    <w:p w14:paraId="15AC7A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特别风险提示与与动态调整机制</w:t>
      </w:r>
    </w:p>
    <w:p w14:paraId="37A17498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动态竞争熔断机制：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本协议报价基于签约时的行业竞争热度测算。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若服务期内关键词竞争难度上涨超过30%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（判定标准：如突发行业热点、竞品大规模恶性投放导致AI提及权重剧变），原定运维包的效果可能产生波动。届时，乙方应及时告知甲方，并建议甲方启动“流量加油包”以应对竞争压力。</w:t>
      </w:r>
    </w:p>
    <w:p w14:paraId="64D76A86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算法黑盒波动：</w:t>
      </w:r>
      <w:r>
        <w:rPr>
          <w:rFonts w:ascii="PingFang SC" w:hAnsi="PingFang SC" w:eastAsia="PingFang SC" w:cs="PingFang SC"/>
          <w:i w:val="0"/>
          <w:iCs w:val="0"/>
          <w:caps w:val="0"/>
          <w:color w:val="C9D1D9"/>
          <w:spacing w:val="0"/>
          <w:sz w:val="28"/>
          <w:szCs w:val="28"/>
        </w:rPr>
        <w:t> </w:t>
      </w:r>
      <w:commentRangeStart w:id="6"/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鉴于AI技术的实验性特征，若因平台方（如字节跳动、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阿里、deepseek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等）调整算法导致数据波动，乙方不承担违约责任，但应积极采取补救措施。</w:t>
      </w:r>
      <w:commentRangeEnd w:id="6"/>
      <w:r>
        <w:commentReference w:id="6"/>
      </w:r>
    </w:p>
    <w:p w14:paraId="2F7D7917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非广告承诺：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 本服务旨在优化“被提及率”，</w:t>
      </w:r>
      <w:commentRangeStart w:id="7"/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乙方不承诺“100%永远排名第一”或“绝对排他性推荐”。</w:t>
      </w:r>
      <w:commentRangeEnd w:id="7"/>
      <w:r>
        <w:commentReference w:id="7"/>
      </w:r>
    </w:p>
    <w:p w14:paraId="16C553BD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合规性红线：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 严禁使用《广告法》违禁词（如第一、唯一等），若甲方坚持使用导致屏蔽，责任由甲方承担。</w:t>
      </w:r>
    </w:p>
    <w:p w14:paraId="5C7BA0F4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commentRangeStart w:id="8"/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甲方配合度的风险责任划分：甲方应该有专人配合，及时传递各类品牌和销售的信息，配合乙方实时工作。如果因甲方的意外、配合不够，导致的情况，乙方免责。</w:t>
      </w:r>
      <w:commentRangeEnd w:id="8"/>
      <w:r>
        <w:commentReference w:id="8"/>
      </w:r>
    </w:p>
    <w:p w14:paraId="04625F8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双方权利与义务</w:t>
      </w:r>
    </w:p>
    <w:p w14:paraId="4BBC05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（一）甲方权利与义务</w:t>
      </w:r>
    </w:p>
    <w:p w14:paraId="5F8FC997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权利：</w:t>
      </w:r>
    </w:p>
    <w:p w14:paraId="259BBAEB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有权要求乙方按照本协议约定提供服务，随时了解服务进度及优化效果。</w:t>
      </w:r>
    </w:p>
    <w:p w14:paraId="463D3C41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有权对乙方提交的报告提出合理修改建议。</w:t>
      </w:r>
    </w:p>
    <w:p w14:paraId="4244CC30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义务：</w:t>
      </w:r>
    </w:p>
    <w:p w14:paraId="79985152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应在本协议签订后 3 个工作日内，向乙方提供服务所需资料（如品牌 VI、产品参数、合规性要求等），并确保资料真实、合法。</w:t>
      </w:r>
    </w:p>
    <w:p w14:paraId="2B2ABB0D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commentRangeStart w:id="9"/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应及时配合乙方的服务执行工作（如审核内容、确认权限）。</w:t>
      </w:r>
      <w:commentRangeEnd w:id="9"/>
      <w:r>
        <w:commentReference w:id="9"/>
      </w:r>
    </w:p>
    <w:p w14:paraId="73E40ECB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应按时支付服务费用。</w:t>
      </w:r>
    </w:p>
    <w:p w14:paraId="5C02CB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（二）乙方权利与义务</w:t>
      </w:r>
    </w:p>
    <w:p w14:paraId="76B87377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right="0" w:hanging="36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权利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DDEAA51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168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有权要求甲方及时提供资料及配合工作。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若甲方未能在约定时间内提供品牌资料或审核内容，服务期限顺延，且不免除甲方的付款义务。</w:t>
      </w:r>
    </w:p>
    <w:p w14:paraId="59AF60B0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168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有权按约定收取服务费用。</w:t>
      </w:r>
    </w:p>
    <w:p w14:paraId="734D2AF6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right="0" w:hanging="36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义务：</w:t>
      </w:r>
    </w:p>
    <w:p w14:paraId="64C869D1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应组建专属服务团队，保质保量完成服务内容。</w:t>
      </w:r>
    </w:p>
    <w:p w14:paraId="1008FF31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应遵守各平台规则，</w:t>
      </w:r>
      <w:commentRangeStart w:id="10"/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不得采用恶意作弊手段（如刷量、恶意攻击竞品）。</w:t>
      </w:r>
      <w:commentRangeEnd w:id="10"/>
      <w:r>
        <w:commentReference w:id="10"/>
      </w:r>
    </w:p>
    <w:p w14:paraId="2A8A6862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应保护甲方商业秘密，不得向第三方泄露。</w:t>
      </w:r>
    </w:p>
    <w:p w14:paraId="218C630B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若服务过程中出现可能影响效果的情况（如算法重大变更），应及时通知甲方并协商调整方案。</w:t>
      </w:r>
    </w:p>
    <w:p w14:paraId="199ADB6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保密条款</w:t>
      </w:r>
    </w:p>
    <w:p w14:paraId="6860B9BC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双方确认，本协议履行过程中获知的对方商业秘密（包括但不限于甲方的品牌数据、产品规划，乙方的技术方法、策略方案）均属于保密信息。</w:t>
      </w:r>
    </w:p>
    <w:p w14:paraId="46214C08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双方均应采取合理的保密措施保护对方保密信息，未经书面同意，不得向第三方泄露。</w:t>
      </w:r>
    </w:p>
    <w:p w14:paraId="5A2B08F2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保密义务不因本协议终止而失效，保密期限为自获知保密信息之日起3年。</w:t>
      </w:r>
    </w:p>
    <w:p w14:paraId="7000D66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违约责任</w:t>
      </w:r>
    </w:p>
    <w:p w14:paraId="20EEA172">
      <w:pPr>
        <w:keepNext w:val="0"/>
        <w:keepLines w:val="0"/>
        <w:widowControl/>
        <w:numPr>
          <w:ilvl w:val="0"/>
          <w:numId w:val="17"/>
        </w:numPr>
        <w:suppressLineNumbers w:val="0"/>
        <w:ind w:left="845" w:leftChars="0" w:hanging="425" w:firstLineChars="0"/>
        <w:jc w:val="left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甲方违约：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若甲方逾期支付服务费用，每逾期一日，应按逾期金额的0.05%向乙方支付违约金；逾期超过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日的，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乙方有权立即停止所有线上语料维护和系统监测，由此导致的AI权重下降由甲方自行承担；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逾期超过60日的，乙方有权解除本协议并要求支付已完成服务费用及违约金。</w:t>
      </w:r>
    </w:p>
    <w:p w14:paraId="747DDC86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845" w:leftChars="0" w:right="0" w:rightChars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乙方违约：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若乙方未按约定提供服务或严重违反平台规则导致甲方损失，甲方有权要求限期整改；整改后仍不达标的，甲方有权解除协议。若因乙方违约导致甲方产生实际直接损失，乙方应承担赔偿责任。</w:t>
      </w:r>
    </w:p>
    <w:p w14:paraId="100E54E6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845" w:leftChars="0" w:right="0" w:rightChars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其他：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任何一方因违反本协议约定导致协议无法履行的，违约方应向守约方支付服务总费用</w:t>
      </w:r>
      <w:commentRangeStart w:id="11"/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20%</w:t>
      </w:r>
      <w:commentRangeEnd w:id="11"/>
      <w:r>
        <w:commentReference w:id="11"/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的违约金。</w:t>
      </w:r>
    </w:p>
    <w:p w14:paraId="5578DA2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、不可抗力</w:t>
      </w:r>
    </w:p>
    <w:p w14:paraId="4CA5C5AE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不可抗力是指双方在签订本协议时不能预见、不能避免且不能克服的客观情况（如自然灾害、战争、政府政策调整、AI平台规则重大变更或系统性故障等）。</w:t>
      </w:r>
    </w:p>
    <w:p w14:paraId="0385E287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因不可抗力导致无法履行协议的，双方应及时通知对方并提供证明，协商暂停、部分履行或解除协议，互不承担违约责任。</w:t>
      </w:r>
    </w:p>
    <w:p w14:paraId="3BBD20B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、争议解决</w:t>
      </w:r>
    </w:p>
    <w:p w14:paraId="2D1939E7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本协议适用中华人民共和国法律。</w:t>
      </w:r>
    </w:p>
    <w:p w14:paraId="4EEFB3DA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双方因本协议产生的争议，应友好协商解决；协商不成的，任何一方均有权向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乙方所在地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有管辖权的人民法院提起诉讼。</w:t>
      </w:r>
    </w:p>
    <w:p w14:paraId="20D901F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、其他条款</w:t>
      </w:r>
    </w:p>
    <w:p w14:paraId="079EE3B5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本协议一式两份，甲乙双方各执一份，自双方签字盖章之日起生效。</w:t>
      </w:r>
    </w:p>
    <w:p w14:paraId="32975353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本协议未尽事宜，双方可另行签订补充协议。</w:t>
      </w:r>
    </w:p>
    <w:p w14:paraId="7DE80D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3E51D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甲方（盖章）：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________________________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法定代表人 / 负责人（签字）：________________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签订日期：____年____月____日</w:t>
      </w:r>
    </w:p>
    <w:p w14:paraId="2175E0C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2CA5DC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乙方（盖章）：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________________________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法定代表人 / 负责人（签字）：________________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签订日期：____年____月____日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ASTA" w:date="2026-01-13T12:22:06Z" w:initials="">
    <w:p w14:paraId="116EDB7A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会增加工作量。</w:t>
      </w:r>
    </w:p>
  </w:comment>
  <w:comment w:id="1" w:author="PASTA" w:date="2026-01-13T12:22:36Z" w:initials="">
    <w:p w14:paraId="3D53962A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最好不提24小时，不是实时监测，是抽取监测</w:t>
      </w:r>
    </w:p>
  </w:comment>
  <w:comment w:id="2" w:author="PASTA" w:date="2026-01-13T12:28:58Z" w:initials="">
    <w:p w14:paraId="73DB12AA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这个表述很奇怪，如果知识针对品牌的问题，肯定可以达到80%。转化问题，有一定的意外。</w:t>
      </w:r>
    </w:p>
  </w:comment>
  <w:comment w:id="3" w:author="PASTA" w:date="2026-01-13T12:30:07Z" w:initials="">
    <w:p w14:paraId="33D79BD0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不知道怎么测算？</w:t>
      </w:r>
    </w:p>
  </w:comment>
  <w:comment w:id="4" w:author="PASTA" w:date="2026-01-13T12:30:39Z" w:initials="">
    <w:p w14:paraId="4B7A6179">
      <w:pPr>
        <w:pStyle w:val="5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？</w:t>
      </w:r>
    </w:p>
  </w:comment>
  <w:comment w:id="5" w:author="PASTA" w:date="2026-01-13T12:32:51Z" w:initials="">
    <w:p w14:paraId="77F3EE06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不是攻击，改成投喂、分发</w:t>
      </w:r>
    </w:p>
  </w:comment>
  <w:comment w:id="6" w:author="PASTA" w:date="2026-01-13T12:35:53Z" w:initials="">
    <w:p w14:paraId="52CB6A0C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这点很重要，免责</w:t>
      </w:r>
    </w:p>
  </w:comment>
  <w:comment w:id="7" w:author="PASTA" w:date="2026-01-13T12:36:17Z" w:initials="">
    <w:p w14:paraId="1C75A878">
      <w:pPr>
        <w:pStyle w:val="5"/>
      </w:pPr>
      <w:r>
        <w:annotationRef/>
      </w:r>
    </w:p>
  </w:comment>
  <w:comment w:id="8" w:author="PASTA" w:date="2026-01-13T12:41:16Z" w:initials="">
    <w:p w14:paraId="22521B17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这个条款可能需要细细考虑一下，简单但有效，以后可以免责。</w:t>
      </w:r>
    </w:p>
  </w:comment>
  <w:comment w:id="9" w:author="PASTA" w:date="2026-01-13T12:38:00Z" w:initials="">
    <w:p w14:paraId="4B49DB97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需要甲方配合的地方很多，如准备的各个发布平台的账号、资料及时变更、重大变动通知，信息发布提示等等，需要单独罗列出来。</w:t>
      </w:r>
    </w:p>
  </w:comment>
  <w:comment w:id="10" w:author="PASTA" w:date="2026-01-13T12:37:12Z" w:initials="">
    <w:p w14:paraId="453DFBE7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这个刷量是需要的</w:t>
      </w:r>
    </w:p>
  </w:comment>
  <w:comment w:id="11" w:author="PASTA" w:date="2026-01-13T12:42:26Z" w:initials="">
    <w:p w14:paraId="1E076666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一般10%吧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6EDB7A" w15:done="0"/>
  <w15:commentEx w15:paraId="3D53962A" w15:done="0"/>
  <w15:commentEx w15:paraId="73DB12AA" w15:done="0"/>
  <w15:commentEx w15:paraId="33D79BD0" w15:done="0"/>
  <w15:commentEx w15:paraId="4B7A6179" w15:done="0"/>
  <w15:commentEx w15:paraId="77F3EE06" w15:done="0"/>
  <w15:commentEx w15:paraId="52CB6A0C" w15:done="0"/>
  <w15:commentEx w15:paraId="1C75A878" w15:done="0"/>
  <w15:commentEx w15:paraId="22521B17" w15:done="0"/>
  <w15:commentEx w15:paraId="4B49DB97" w15:done="0"/>
  <w15:commentEx w15:paraId="453DFBE7" w15:done="0"/>
  <w15:commentEx w15:paraId="1E07666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FD66A"/>
    <w:multiLevelType w:val="multilevel"/>
    <w:tmpl w:val="9F6FD6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BBA90C5"/>
    <w:multiLevelType w:val="multilevel"/>
    <w:tmpl w:val="BBBA90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FF35C05"/>
    <w:multiLevelType w:val="singleLevel"/>
    <w:tmpl w:val="BFF35C05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C6FEE0C9"/>
    <w:multiLevelType w:val="multilevel"/>
    <w:tmpl w:val="C6FEE0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30FC060"/>
    <w:multiLevelType w:val="multilevel"/>
    <w:tmpl w:val="D30FC0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D8BE8720"/>
    <w:multiLevelType w:val="singleLevel"/>
    <w:tmpl w:val="D8BE8720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6">
    <w:nsid w:val="EBAF913F"/>
    <w:multiLevelType w:val="multilevel"/>
    <w:tmpl w:val="EBAF91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EEB933AB"/>
    <w:multiLevelType w:val="multilevel"/>
    <w:tmpl w:val="EEB933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EFBFFDDF"/>
    <w:multiLevelType w:val="multilevel"/>
    <w:tmpl w:val="EFBFFD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FA2CF8C3"/>
    <w:multiLevelType w:val="singleLevel"/>
    <w:tmpl w:val="FA2CF8C3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0">
    <w:nsid w:val="FBFE857F"/>
    <w:multiLevelType w:val="multilevel"/>
    <w:tmpl w:val="FBFE85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FEEE8EDB"/>
    <w:multiLevelType w:val="singleLevel"/>
    <w:tmpl w:val="FEEE8EDB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2">
    <w:nsid w:val="FF7A57BB"/>
    <w:multiLevelType w:val="singleLevel"/>
    <w:tmpl w:val="FF7A57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3">
    <w:nsid w:val="FFFA358F"/>
    <w:multiLevelType w:val="multilevel"/>
    <w:tmpl w:val="FFFA35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3E7CE2AF"/>
    <w:multiLevelType w:val="multilevel"/>
    <w:tmpl w:val="3E7CE2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5A2F4FB2"/>
    <w:multiLevelType w:val="multilevel"/>
    <w:tmpl w:val="5A2F4F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5DEB1ED0"/>
    <w:multiLevelType w:val="multilevel"/>
    <w:tmpl w:val="5DEB1E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5E4F7EE8"/>
    <w:multiLevelType w:val="multilevel"/>
    <w:tmpl w:val="5E4F7E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5FFE827E"/>
    <w:multiLevelType w:val="singleLevel"/>
    <w:tmpl w:val="5FFE827E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9">
    <w:nsid w:val="63D55E75"/>
    <w:multiLevelType w:val="multilevel"/>
    <w:tmpl w:val="63D55E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3"/>
  </w:num>
  <w:num w:numId="5">
    <w:abstractNumId w:val="19"/>
  </w:num>
  <w:num w:numId="6">
    <w:abstractNumId w:val="6"/>
  </w:num>
  <w:num w:numId="7">
    <w:abstractNumId w:val="15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14"/>
  </w:num>
  <w:num w:numId="14">
    <w:abstractNumId w:val="18"/>
  </w:num>
  <w:num w:numId="15">
    <w:abstractNumId w:val="9"/>
  </w:num>
  <w:num w:numId="16">
    <w:abstractNumId w:val="5"/>
  </w:num>
  <w:num w:numId="17">
    <w:abstractNumId w:val="12"/>
  </w:num>
  <w:num w:numId="18">
    <w:abstractNumId w:val="0"/>
  </w:num>
  <w:num w:numId="19">
    <w:abstractNumId w:val="7"/>
  </w:num>
  <w:num w:numId="2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ASTA">
    <w15:presenceInfo w15:providerId="WPS Office" w15:userId="3692936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562E"/>
    <w:rsid w:val="05291B2A"/>
    <w:rsid w:val="0A882D3E"/>
    <w:rsid w:val="33ED66DC"/>
    <w:rsid w:val="3EEB6230"/>
    <w:rsid w:val="3FFF562E"/>
    <w:rsid w:val="573D9B85"/>
    <w:rsid w:val="5BCB5D43"/>
    <w:rsid w:val="732FC656"/>
    <w:rsid w:val="7E7987A4"/>
    <w:rsid w:val="7F7B3C24"/>
    <w:rsid w:val="BDDF8C10"/>
    <w:rsid w:val="FB774FFB"/>
    <w:rsid w:val="FBDFA616"/>
    <w:rsid w:val="FDB71A44"/>
    <w:rsid w:val="FFFEC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3393</Words>
  <Characters>3666</Characters>
  <Lines>0</Lines>
  <Paragraphs>0</Paragraphs>
  <TotalTime>70</TotalTime>
  <ScaleCrop>false</ScaleCrop>
  <LinksUpToDate>false</LinksUpToDate>
  <CharactersWithSpaces>3732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2025-12-21T05:55:00Z</dcterms:created>
  <dc:creator>雅静</dc:creator>
  <cp:lastModifiedBy>PASTA</cp:lastModifiedBy>
  <dcterms:modified xsi:type="dcterms:W3CDTF">2026-01-13T05:47:47Z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F28C808B13F44C83A0FBB9FB8995AFF0_13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