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0DF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jc w:val="center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09D36D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jc w:val="center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开心豆罐AI搜爆“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AI品牌资产管理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服务协议</w:t>
      </w:r>
    </w:p>
    <w:p w14:paraId="2AF714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合同编号：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20260112003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</w:t>
      </w:r>
    </w:p>
    <w:p w14:paraId="591B997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甲方（品牌方）：</w:t>
      </w:r>
    </w:p>
    <w:p w14:paraId="72F2471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法定代表人 / 负责人：</w:t>
      </w:r>
    </w:p>
    <w:p w14:paraId="129D22D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</w:p>
    <w:p w14:paraId="23011F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3AD9E2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乙方（服务提供方）：</w:t>
      </w:r>
    </w:p>
    <w:p w14:paraId="333BE8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法定代表人 / 负责人：</w:t>
      </w:r>
    </w:p>
    <w:p w14:paraId="127F1F1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地址：</w:t>
      </w:r>
    </w:p>
    <w:p w14:paraId="71630F0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楷体" w:hAnsi="华文楷体" w:eastAsia="华文楷体" w:cs="华文楷体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</w:p>
    <w:p w14:paraId="1DA88A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 w:firstLine="440" w:firstLineChars="20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鉴于甲方需提升其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品牌“黑奥秘”的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品牌资产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AIBE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管理效果，乙方具备专业的AI品牌资产管理服务能力，双方本着平等自愿、互利共赢的原则，经友好协商，达成如下协议，以资共同遵守。</w:t>
      </w:r>
    </w:p>
    <w:p w14:paraId="0DA2580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一、服务内容与目标</w:t>
      </w:r>
    </w:p>
    <w:p w14:paraId="6F7D98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firstLine="440" w:firstLineChars="200"/>
        <w:jc w:val="left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乙方为甲方提供AIBE管理服务，旨在将“黑奥秘”从被动检索对象升级为AI主动推荐的“白发转黑/防脱生发”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66E8D0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jc w:val="left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（一）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服务范围与核心动作</w:t>
      </w:r>
    </w:p>
    <w:p w14:paraId="21C219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AI品牌数字资产重构（技术基建）：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清洗陈旧错误信息，构建包含“多聚磷酸钠、富勒烯”等核心技术的品牌知识图谱，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部署证据链。</w:t>
      </w:r>
    </w:p>
    <w:p w14:paraId="4C72BC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AIBE监测诊断系统（系统订阅）：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提供见度监测，实时透视竞品（如丝域等）AI声量，每月输出诊断报告。</w:t>
      </w:r>
    </w:p>
    <w:p w14:paraId="5DF46A3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AI语义喂养资源包（效果执行）：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基于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5D高意图语义矩阵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（认知、场景、决策、技术、行动层），针对20个核心流量锚点进行全网信号注入。</w:t>
      </w:r>
    </w:p>
    <w:p w14:paraId="6E5E7CD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效果监测与迭代：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利用专业工具实时监测品牌在各大AI模型的表现，并根据数据反馈动态调整优化策略。</w:t>
      </w:r>
    </w:p>
    <w:p w14:paraId="071F2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jc w:val="left"/>
        <w:textAlignment w:val="auto"/>
        <w:rPr>
          <w:rFonts w:hint="eastAsia" w:ascii="等线" w:hAnsi="等线" w:eastAsia="等线" w:cs="等线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（二）服务</w:t>
      </w:r>
      <w:r>
        <w:rPr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与基础配置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 （Plus 旗舰版）</w:t>
      </w:r>
    </w:p>
    <w:p w14:paraId="222642C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leftChars="0" w:hanging="360" w:firstLineChars="0"/>
        <w:jc w:val="left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服务平台：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覆盖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6大主流平台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（DeepSeek、豆包、腾讯元宝、Kimi、通义千问、纳米）</w:t>
      </w:r>
    </w:p>
    <w:p w14:paraId="1FADF53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leftChars="0" w:hanging="360" w:firstLineChars="0"/>
        <w:jc w:val="left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服务配置：</w:t>
      </w:r>
    </w:p>
    <w:p w14:paraId="57F4A3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360" w:leftChars="0" w:firstLine="440" w:firstLineChars="200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覆盖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20个核心关键词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（裂变为100个高意图触点）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328BB7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包含“白发转黑、防脱生发、秃头焦虑、视觉发量、品牌转化”五大组别。</w:t>
      </w:r>
    </w:p>
    <w:p w14:paraId="1CCD8E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（三）核心考核指标（KPI）与</w:t>
      </w:r>
      <w:bookmarkStart w:id="0" w:name="_GoBack"/>
      <w:bookmarkEnd w:id="0"/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交付承诺</w:t>
      </w:r>
    </w:p>
    <w:p w14:paraId="2A34134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 w:firstLine="660" w:firstLineChars="30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双方约定，本服务周期的核心考核指标如下：</w:t>
      </w:r>
    </w:p>
    <w:p w14:paraId="4ABEC6F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综合覆盖率：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100个长尾问题在6大平台整体展现率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50%。</w:t>
      </w:r>
    </w:p>
    <w:p w14:paraId="0805E28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高优词表现：</w:t>
      </w:r>
      <w:r>
        <w:rPr>
          <w:rFonts w:hint="eastAsia" w:ascii="等线" w:hAnsi="等线" w:eastAsia="等线" w:cs="等线"/>
          <w:i w:val="0"/>
          <w:iCs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>针对转化意图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强的50%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长尾问题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（如“黑奥秘怎么样”），Top3出现概率 ≥ 80%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平均排名小于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等于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3。</w:t>
      </w:r>
    </w:p>
    <w:p w14:paraId="108836D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内容准确度：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品牌幻觉率（负面/错误关联）≤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 xml:space="preserve"> 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10%。</w:t>
      </w:r>
    </w:p>
    <w:p w14:paraId="1FB5FF8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color w:val="auto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交付物清单：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乙方需按月提供《执行报告》、《舆情预警》及《月度效果分析报告》。</w:t>
      </w:r>
    </w:p>
    <w:p w14:paraId="4F1133E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bCs/>
          <w:color w:val="auto"/>
          <w:sz w:val="22"/>
          <w:szCs w:val="22"/>
          <w:lang w:val="en-US" w:eastAsia="zh-CN"/>
        </w:rPr>
        <w:t>抽样验收机制：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以乙方提供的《月度效果分析报告》中的截图及监测工具数据为准。由于AI算法的随机性，单次搜索结果不代表整体覆盖率。</w:t>
      </w:r>
    </w:p>
    <w:p w14:paraId="401D136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保量承诺：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乙方保证每月至少完成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100篇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+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高质量语料的线上发布与投喂，以确保品牌声量的持续积累及AI模型的深度学习。</w:t>
      </w:r>
    </w:p>
    <w:p w14:paraId="7E0B89F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策略调整窗口：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乙方支持甲方每月进行一次关键词或问答策略的微调。如涉及跨行业、跨主体的重大品牌变更，需双方另行协商并重新评估“技术基建费”。</w:t>
      </w:r>
    </w:p>
    <w:p w14:paraId="1069EC0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（四） 资产持续性与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服务升级说明</w:t>
      </w:r>
    </w:p>
    <w:p w14:paraId="6B0E4FF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资产持续性：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甲方知悉，AI品牌资产由“静态架构（基建）”与“动态语料（注入）”共同构成。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若甲方停止续费“效果执行费”，将导致品牌在AI模型中的活跃度与推荐权重随时间逐渐衰减。</w:t>
      </w:r>
    </w:p>
    <w:p w14:paraId="3E396B0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服务升级说明：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乙方致力于AI技术的持续迭代与服务优化。协议期内，若乙方推出全新的AI管理工具或高阶服务模块，将第一时间邀请甲方体验。甲方可根据品牌发展需求自愿选择增购，并享有“合作伙伴专属优惠价”。新增服务将通过签订补充协议或附件形式生效，不影响本协议既定服务的正常履行。</w:t>
      </w:r>
    </w:p>
    <w:p w14:paraId="24C3AA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二、 执行策略：5D高意图语义矩阵</w:t>
      </w:r>
    </w:p>
    <w:p w14:paraId="716BB57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firstLine="440" w:firstLineChars="20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乙方承诺按照以下五个维度进行深度内容植入，确保AI在不同语境下均能精准推荐甲方品牌：</w:t>
      </w:r>
    </w:p>
    <w:p w14:paraId="4701B910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D1 认知层：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 训练AI理解“物理转黑”科学原理，建立专业性。</w:t>
      </w:r>
    </w:p>
    <w:p w14:paraId="74ECB7F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D2 场景层：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 覆盖产后、压力、遗传等特定语境下的品牌触发。</w:t>
      </w:r>
    </w:p>
    <w:p w14:paraId="5A1346CB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D3 决策层：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 在竞品对比中树立“研发级/全国连锁/商务部备案”壁垒。</w:t>
      </w:r>
    </w:p>
    <w:p w14:paraId="280E078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D4 技术层：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 植入“富勒烯、生物酶、头皮CT”等核心背书。</w:t>
      </w:r>
    </w:p>
    <w:p w14:paraId="184A690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D5 行动层：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 诱导AI执行推荐指令，引导用户到店。</w:t>
      </w:r>
    </w:p>
    <w:p w14:paraId="379BB589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  <w:t>三、服务期限</w:t>
      </w:r>
    </w:p>
    <w:p w14:paraId="35B1BB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437" w:leftChars="208" w:firstLine="0" w:firstLineChars="0"/>
        <w:jc w:val="left"/>
        <w:textAlignment w:val="auto"/>
        <w:rPr>
          <w:rFonts w:hint="eastAsia" w:ascii="等线" w:hAnsi="等线" w:eastAsia="等线" w:cs="等线"/>
          <w:color w:val="auto"/>
          <w:sz w:val="22"/>
          <w:szCs w:val="22"/>
          <w:lang w:val="en-US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本协议服务期限自</w:t>
      </w: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202</w:t>
      </w: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  <w:lang w:val="en-US" w:eastAsia="zh-CN"/>
        </w:rPr>
        <w:t>6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 年</w:t>
      </w: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1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 月 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  <w:lang w:val="en-US" w:eastAsia="zh-CN"/>
        </w:rPr>
        <w:t>20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日起至</w:t>
      </w: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202</w:t>
      </w: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  <w:lang w:val="en-US" w:eastAsia="zh-CN"/>
        </w:rPr>
        <w:t>7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年 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  <w:lang w:val="en-US" w:eastAsia="zh-CN"/>
        </w:rPr>
        <w:t>2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 月 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  <w:lang w:val="en-US" w:eastAsia="zh-CN"/>
        </w:rPr>
        <w:t>19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 日止，共计</w:t>
      </w: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1</w:t>
      </w: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  <w:lang w:val="en-US" w:eastAsia="zh-CN"/>
        </w:rPr>
        <w:t>3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个月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  <w:lang w:eastAsia="zh-CN"/>
        </w:rPr>
        <w:t>。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（包含：1个月优化执行期 + 12个月效果持续在线期）。</w:t>
      </w:r>
    </w:p>
    <w:p w14:paraId="377F8BA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  <w:t>四、服务费用及支付方式</w:t>
      </w:r>
    </w:p>
    <w:p w14:paraId="051DBB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（一）</w:t>
      </w: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  <w:t>服务费用</w:t>
      </w:r>
    </w:p>
    <w:p w14:paraId="6DFAD175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0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首阶段（前7个月）总费用：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人民币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79,800 元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（大写：柒万玖仟捌佰元整）。</w:t>
      </w:r>
    </w:p>
    <w:p w14:paraId="14457C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firstLine="660" w:firstLineChars="300"/>
        <w:textAlignment w:val="auto"/>
        <w:rPr>
          <w:rStyle w:val="10"/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</w:pPr>
      <w:r>
        <w:rPr>
          <w:rStyle w:val="10"/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构成：技术基建费18,800元 + 系统订阅费18,000元 + 效果执行费43,000元</w:t>
      </w:r>
      <w:r>
        <w:rPr>
          <w:rStyle w:val="10"/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。</w:t>
      </w:r>
    </w:p>
    <w:p w14:paraId="7843AC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firstLine="660" w:firstLineChars="300"/>
        <w:textAlignment w:val="auto"/>
        <w:rPr>
          <w:rFonts w:hint="eastAsia" w:ascii="等线" w:hAnsi="等线" w:eastAsia="等线" w:cs="等线"/>
          <w:color w:val="auto"/>
          <w:sz w:val="22"/>
          <w:szCs w:val="22"/>
          <w:lang w:eastAsia="zh-CN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（注：其中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4个月在线期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为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特别赠送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）</w:t>
      </w:r>
    </w:p>
    <w:p w14:paraId="30094FC1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0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第二阶段（第8个月起）月费：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人民币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1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3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,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3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00 元/月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。</w:t>
      </w:r>
    </w:p>
    <w:p w14:paraId="07A14D3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0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特别赠送：</w:t>
      </w:r>
      <w:r>
        <w:rPr>
          <w:rStyle w:val="9"/>
          <w:rFonts w:hint="eastAsia" w:ascii="等线" w:hAnsi="等线" w:eastAsia="等线" w:cs="等线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  <w:t>GEO高阶咨询</w:t>
      </w:r>
      <w:r>
        <w:rPr>
          <w:rStyle w:val="9"/>
          <w:rFonts w:hint="eastAsia" w:ascii="等线" w:hAnsi="等线" w:eastAsia="等线" w:cs="等线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lang w:eastAsia="zh-CN"/>
        </w:rPr>
        <w:t>，</w:t>
      </w:r>
      <w:r>
        <w:rPr>
          <w:rStyle w:val="9"/>
          <w:rFonts w:hint="eastAsia" w:ascii="等线" w:hAnsi="等线" w:eastAsia="等线" w:cs="等线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  <w:t>价值12,800元的《黑奥秘·GEO战略洞察白皮书》一份。</w:t>
      </w:r>
    </w:p>
    <w:p w14:paraId="38D57B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  <w:t>（二）支付方式</w:t>
      </w:r>
    </w:p>
    <w:p w14:paraId="3F1D4A8E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首阶段预付款：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本协议签订后5个工作日内，甲方支付首阶段总费用的50%，即人民币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39,900 元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。</w:t>
      </w:r>
    </w:p>
    <w:p w14:paraId="2CFAD07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首阶段尾款：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甲方收到乙方提交的《AI品牌资产管理服务效果报告》并确认服务达标后两个月内（即首个季度末），支付首阶段剩余50%，即人民币 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39,900 元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。</w:t>
      </w:r>
    </w:p>
    <w:p w14:paraId="0649D745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hanging="360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后续月费支付：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自第8个月起，甲方需按月支付1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3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,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3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00元服务费，支付时间为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前一个月25日前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。</w:t>
      </w:r>
    </w:p>
    <w:p w14:paraId="1F6183E4">
      <w:pPr>
        <w:keepNext w:val="0"/>
        <w:keepLines w:val="0"/>
        <w:widowControl/>
        <w:suppressLineNumbers w:val="0"/>
        <w:ind w:firstLine="660" w:firstLineChars="300"/>
        <w:jc w:val="left"/>
        <w:rPr>
          <w:rStyle w:val="10"/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Style w:val="10"/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 xml:space="preserve">注：服务达标标准以本协议第一条第（三）款约定的核心指标为准。若甲方在收到报告后 </w:t>
      </w:r>
      <w:r>
        <w:rPr>
          <w:rStyle w:val="10"/>
          <w:rFonts w:hint="eastAsia" w:ascii="等线" w:hAnsi="等线" w:eastAsia="等线" w:cs="等线"/>
          <w:b w:val="0"/>
          <w:i w:val="0"/>
          <w:color w:val="auto"/>
          <w:sz w:val="22"/>
          <w:szCs w:val="22"/>
          <w:lang w:val="en-US" w:eastAsia="zh-CN"/>
        </w:rPr>
        <w:t>3</w:t>
      </w:r>
      <w:r>
        <w:rPr>
          <w:rStyle w:val="10"/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 xml:space="preserve"> 个工作日内未提出书面异议，则视为对报告及服务达标的认可。</w:t>
      </w:r>
    </w:p>
    <w:p w14:paraId="0DB3E8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  <w:t>（三）乙方收款账户信息</w:t>
      </w:r>
    </w:p>
    <w:p w14:paraId="232DB2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630" w:leftChars="300" w:right="0"/>
        <w:jc w:val="left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甲方支付的所有款项均应汇入乙方以下指定账户：</w:t>
      </w:r>
    </w:p>
    <w:p w14:paraId="56084C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630" w:leftChars="300" w:right="0"/>
        <w:jc w:val="left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  <w:lang w:eastAsia="zh-CN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账户名称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  <w:lang w:eastAsia="zh-CN"/>
        </w:rPr>
        <w:t>：</w:t>
      </w:r>
    </w:p>
    <w:p w14:paraId="72CB16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630" w:leftChars="300" w:right="0"/>
        <w:jc w:val="left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账户号码：</w:t>
      </w:r>
    </w:p>
    <w:p w14:paraId="1124E0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630" w:leftChars="300" w:right="0"/>
        <w:jc w:val="left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开户银行：</w:t>
      </w:r>
    </w:p>
    <w:p w14:paraId="553BE2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right="0"/>
        <w:jc w:val="left"/>
        <w:textAlignment w:val="auto"/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  <w:t>（</w:t>
      </w: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  <w:lang w:val="en-US" w:eastAsia="zh-CN"/>
        </w:rPr>
        <w:t>四</w:t>
      </w: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  <w:t>）发票开具</w:t>
      </w:r>
    </w:p>
    <w:p w14:paraId="3D51AF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 w:firstLine="440" w:firstLineChars="200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乙方在收到甲方每笔款项后 5 个工作日内，应向甲方开具等额合法有效的增值税发票（发票类型：</w:t>
      </w:r>
      <w:r>
        <w:rPr>
          <w:rFonts w:hint="eastAsia" w:ascii="等线" w:hAnsi="等线" w:eastAsia="等线" w:cs="等线"/>
          <w:b/>
          <w:bCs/>
          <w:i w:val="0"/>
          <w:color w:val="auto"/>
          <w:sz w:val="22"/>
          <w:szCs w:val="22"/>
          <w:u w:val="single"/>
          <w:lang w:val="en-US" w:eastAsia="zh-CN"/>
        </w:rPr>
        <w:t>咨询服务费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）。发票开具信息以甲方提前提供的《开票信息确认单》为准。</w:t>
      </w:r>
    </w:p>
    <w:p w14:paraId="15AC7A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五、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 xml:space="preserve"> 特别风险提示与与动态调整机制</w:t>
      </w:r>
    </w:p>
    <w:p w14:paraId="37A17498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动态竞争熔断机制：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本协议报价基于签约时的行业竞争热度测算。</w:t>
      </w: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若服务期内关键词竞争难度上涨超过30%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（判定标准：如突发行业热点、竞品大规模恶性投放导致AI提及权重剧变），原定运维包的效果可能产生波动。届时，乙方应及时告知甲方，并建议甲方启动“流量加油包”以应对竞争压力。</w:t>
      </w:r>
    </w:p>
    <w:p w14:paraId="64D76A86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算法黑盒波动：</w:t>
      </w:r>
      <w:r>
        <w:rPr>
          <w:rFonts w:ascii="PingFang SC" w:hAnsi="PingFang SC" w:eastAsia="PingFang SC" w:cs="PingFang SC"/>
          <w:i w:val="0"/>
          <w:iCs w:val="0"/>
          <w:caps w:val="0"/>
          <w:color w:val="auto"/>
          <w:spacing w:val="0"/>
          <w:sz w:val="28"/>
          <w:szCs w:val="28"/>
        </w:rPr>
        <w:t> 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鉴于AI技术的实验性特征，若因平台方（如字节跳动、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阿里、deepseek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等）调整算法导致数据波动，乙方不承担违约责任，但应积极采取补救措施。</w:t>
      </w:r>
    </w:p>
    <w:p w14:paraId="2F7D7917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非广告承诺：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 本服务旨在优化“被提及率”，乙方不承诺“100%永远排名第一”或“绝对排他性推荐”。</w:t>
      </w:r>
    </w:p>
    <w:p w14:paraId="16C553BD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/>
          <w:bCs/>
          <w:i w:val="0"/>
          <w:iCs w:val="0"/>
          <w:caps w:val="0"/>
          <w:color w:val="auto"/>
          <w:spacing w:val="0"/>
          <w:sz w:val="22"/>
          <w:szCs w:val="22"/>
        </w:rPr>
        <w:t>合规性红线：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</w:rPr>
        <w:t> 严禁使用《广告法》违禁词（如第一、唯一等），若甲方坚持使用导致屏蔽，责任由甲方承担。</w:t>
      </w:r>
    </w:p>
    <w:p w14:paraId="5C7BA0F4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hanging="363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甲方配合度的风险责任划分：甲方应该有专人配合，及时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搭建账号体系、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传递各类品牌和销售的信息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等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，配合乙方实时工作。如果因甲方的意外、配合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度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不够，导致的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交付</w:t>
      </w:r>
      <w:r>
        <w:rPr>
          <w:rFonts w:hint="eastAsia" w:ascii="等线" w:hAnsi="等线" w:eastAsia="等线" w:cs="等线"/>
          <w:i w:val="0"/>
          <w:iCs w:val="0"/>
          <w:caps w:val="0"/>
          <w:color w:val="auto"/>
          <w:spacing w:val="0"/>
          <w:sz w:val="22"/>
          <w:szCs w:val="22"/>
          <w:lang w:val="en-US" w:eastAsia="zh-CN"/>
        </w:rPr>
        <w:t>情况，乙方免责。</w:t>
      </w:r>
    </w:p>
    <w:p w14:paraId="04625F8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  <w:lang w:val="en-US" w:eastAsia="zh-CN"/>
        </w:rPr>
        <w:t>六、</w:t>
      </w: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  <w:t>双方权利与义务</w:t>
      </w:r>
    </w:p>
    <w:p w14:paraId="4BBC05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  <w:t>（一）甲方权利与义务</w:t>
      </w:r>
    </w:p>
    <w:p w14:paraId="5F8FC997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right="0" w:hanging="363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权利：</w:t>
      </w:r>
    </w:p>
    <w:p w14:paraId="259BBAEB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有权要求乙方按照本协议约定提供服务，随时了解服务进度及优化效果。</w:t>
      </w:r>
    </w:p>
    <w:p w14:paraId="463D3C41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有权对乙方提交的报告提出合理修改建议。</w:t>
      </w:r>
    </w:p>
    <w:p w14:paraId="4244CC30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right="0" w:hanging="363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义务：</w:t>
      </w:r>
    </w:p>
    <w:p w14:paraId="79985152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应在本协议签订后 3 个工作日内，向乙方提供服务所需资料（如品牌 VI、产品参数、合规性要求等），并确保资料真实、合法。</w:t>
      </w:r>
    </w:p>
    <w:p w14:paraId="2B2ABB0D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应及时配合乙方的服务执行工作（如审核内容、确认权限）。</w:t>
      </w:r>
    </w:p>
    <w:p w14:paraId="73E40ECB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应按时支付服务费用。</w:t>
      </w:r>
    </w:p>
    <w:p w14:paraId="5C02CB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bCs w:val="0"/>
          <w:i w:val="0"/>
          <w:color w:val="auto"/>
          <w:sz w:val="22"/>
          <w:szCs w:val="22"/>
        </w:rPr>
        <w:t>（二）乙方权利与义务</w:t>
      </w:r>
    </w:p>
    <w:p w14:paraId="76B87377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right="0" w:hanging="360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权利</w:t>
      </w:r>
      <w:r>
        <w:rPr>
          <w:rStyle w:val="9"/>
          <w:rFonts w:hint="eastAsia" w:ascii="等线" w:hAnsi="等线" w:eastAsia="等线" w:cs="等线"/>
          <w:b w:val="0"/>
          <w:i w:val="0"/>
          <w:color w:val="auto"/>
          <w:sz w:val="22"/>
          <w:szCs w:val="22"/>
          <w:lang w:eastAsia="zh-CN"/>
        </w:rPr>
        <w:t>：</w:t>
      </w:r>
    </w:p>
    <w:p w14:paraId="4DDEAA51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168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</w:pP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</w:rPr>
        <w:t>有权要求甲方及时提供资料及配合工作。</w:t>
      </w:r>
      <w:r>
        <w:rPr>
          <w:rFonts w:hint="eastAsia" w:ascii="等线" w:hAnsi="等线" w:eastAsia="等线" w:cs="等线"/>
          <w:b w:val="0"/>
          <w:i w:val="0"/>
          <w:color w:val="auto"/>
          <w:sz w:val="22"/>
          <w:szCs w:val="22"/>
          <w:lang w:val="en-US" w:eastAsia="zh-CN"/>
        </w:rPr>
        <w:t>若甲方未能在约定时间内提供品牌资料或审核内容，服务期限顺延，且不免除甲方的付款义务。</w:t>
      </w:r>
    </w:p>
    <w:p w14:paraId="59AF60B0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168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有权按约定收取服务费用。</w:t>
      </w:r>
    </w:p>
    <w:p w14:paraId="734D2AF6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720" w:right="0" w:hanging="36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义务：</w:t>
      </w:r>
    </w:p>
    <w:p w14:paraId="64C869D1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应组建专属服务团队，保质保量完成服务内容。</w:t>
      </w:r>
    </w:p>
    <w:p w14:paraId="1008FF31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应遵守各平台规则，不得采用恶意作弊手段（如恶意攻击竞品）。</w:t>
      </w:r>
    </w:p>
    <w:p w14:paraId="2A8A6862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应保护甲方商业秘密，不得向第三方泄露。</w:t>
      </w:r>
    </w:p>
    <w:p w14:paraId="218C630B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若服务过程中出现可能影响效果的情况（如算法重大变更），应及时通知甲方并协商调整方案。</w:t>
      </w:r>
    </w:p>
    <w:p w14:paraId="199ADB6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保密条款</w:t>
      </w:r>
    </w:p>
    <w:p w14:paraId="6860B9BC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双方确认，本协议履行过程中获知的对方商业秘密（包括但不限于甲方的品牌数据、产品规划，乙方的技术方法、策略方案）均属于保密信息。</w:t>
      </w:r>
    </w:p>
    <w:p w14:paraId="46214C08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双方均应采取合理的保密措施保护对方保密信息，未经书面同意，不得向第三方泄露。</w:t>
      </w:r>
    </w:p>
    <w:p w14:paraId="5A2B08F2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1264" w:leftChars="0" w:right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保密义务不因本协议终止而失效，保密期限为自获知保密信息之日起3年。</w:t>
      </w:r>
    </w:p>
    <w:p w14:paraId="7000D66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违约责任</w:t>
      </w:r>
    </w:p>
    <w:p w14:paraId="20EEA172">
      <w:pPr>
        <w:keepNext w:val="0"/>
        <w:keepLines w:val="0"/>
        <w:widowControl/>
        <w:numPr>
          <w:ilvl w:val="0"/>
          <w:numId w:val="17"/>
        </w:numPr>
        <w:suppressLineNumbers w:val="0"/>
        <w:ind w:left="845" w:leftChars="0" w:hanging="425" w:firstLineChars="0"/>
        <w:jc w:val="left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甲方违约：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若甲方逾期支付服务费用，每逾期一日，应按逾期金额的0.05%向乙方支付违约金；逾期超过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日的，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乙方有权立即停止所有线上语料维护和系统监测，由此导致的AI权重下降由甲方自行承担；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逾期超过60日的，乙方有权解除本协议并要求支付已完成服务费用及违约金。</w:t>
      </w:r>
    </w:p>
    <w:p w14:paraId="747DDC86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845" w:leftChars="0" w:right="0" w:rightChars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乙方违约：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若乙方未按约定提供服务或严重违反平台规则导致甲方损失，甲方有权要求限期整改；整改后仍不达标的，甲方有权解除协议。若因乙方违约导致甲方产生实际直接损失，乙方应承担赔偿责任。</w:t>
      </w:r>
    </w:p>
    <w:p w14:paraId="100E54E6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845" w:leftChars="0" w:right="0" w:rightChars="0" w:hanging="425" w:firstLineChars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/>
          <w:bCs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其他：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任何一方因违反本协议约定导致协议无法履行的，违约方应向守约方支付服务总费用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0%的违约金。</w:t>
      </w:r>
    </w:p>
    <w:p w14:paraId="5578DA2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、不可抗力</w:t>
      </w:r>
    </w:p>
    <w:p w14:paraId="4CA5C5AE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不可抗力是指双方在签订本协议时不能预见、不能避免且不能克服的客观情况（如自然灾害、战争、政府政策调整、AI平台规则重大变更或系统性故障等）。</w:t>
      </w:r>
    </w:p>
    <w:p w14:paraId="0385E287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因不可抗力导致无法履行协议的，双方应及时通知对方并提供证明，协商暂停、部分履行或解除协议，互不承担违约责任。</w:t>
      </w:r>
    </w:p>
    <w:p w14:paraId="3BBD20B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、争议解决</w:t>
      </w:r>
    </w:p>
    <w:p w14:paraId="2D1939E7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本协议适用中华人民共和国法律。</w:t>
      </w:r>
    </w:p>
    <w:p w14:paraId="4EEFB3DA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双方因本协议产生的争议，应友好协商解决；协商不成的，任何一方均有权向</w:t>
      </w: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乙方所在地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有管辖权的人民法院提起诉讼。</w:t>
      </w:r>
    </w:p>
    <w:p w14:paraId="20D901F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等线" w:hAnsi="等线" w:eastAsia="等线" w:cs="等线"/>
          <w:b/>
          <w:bCs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、其他条款</w:t>
      </w:r>
    </w:p>
    <w:p w14:paraId="079EE3B5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本协议一式两份，甲乙双方各执一份，自双方签字盖章之日起生效。</w:t>
      </w:r>
    </w:p>
    <w:p w14:paraId="32975353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left="726" w:right="0" w:hanging="363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本协议未尽事宜，双方可另行签订补充协议。</w:t>
      </w:r>
    </w:p>
    <w:p w14:paraId="7DE80D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3E51D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甲方（盖章）：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________________________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法定代表人 / 负责人（签字）：________________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签订日期：____年____月____日</w:t>
      </w:r>
    </w:p>
    <w:p w14:paraId="2175E0C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2CA5DC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00" w:lineRule="auto"/>
        <w:ind w:left="0" w:right="0"/>
        <w:textAlignment w:val="auto"/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乙方（盖章）：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________________________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法定代表人 / 负责人（签字）：________________</w:t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等线" w:hAnsi="等线" w:eastAsia="等线" w:cs="等线"/>
          <w:b w:val="0"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签订日期：____年____月____日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FD66A"/>
    <w:multiLevelType w:val="multilevel"/>
    <w:tmpl w:val="9F6FD6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BBA90C5"/>
    <w:multiLevelType w:val="multilevel"/>
    <w:tmpl w:val="BBBA90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FF35C05"/>
    <w:multiLevelType w:val="singleLevel"/>
    <w:tmpl w:val="BFF35C05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C6FEE0C9"/>
    <w:multiLevelType w:val="multilevel"/>
    <w:tmpl w:val="C6FEE0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30FC060"/>
    <w:multiLevelType w:val="multilevel"/>
    <w:tmpl w:val="D30FC0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D8BE8720"/>
    <w:multiLevelType w:val="singleLevel"/>
    <w:tmpl w:val="D8BE8720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6">
    <w:nsid w:val="EBAF913F"/>
    <w:multiLevelType w:val="multilevel"/>
    <w:tmpl w:val="EBAF91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EEB933AB"/>
    <w:multiLevelType w:val="multilevel"/>
    <w:tmpl w:val="EEB933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EFBFFDDF"/>
    <w:multiLevelType w:val="multilevel"/>
    <w:tmpl w:val="EFBFFD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FA2CF8C3"/>
    <w:multiLevelType w:val="singleLevel"/>
    <w:tmpl w:val="FA2CF8C3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0">
    <w:nsid w:val="FBFE857F"/>
    <w:multiLevelType w:val="multilevel"/>
    <w:tmpl w:val="FBFE85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FEEE8EDB"/>
    <w:multiLevelType w:val="singleLevel"/>
    <w:tmpl w:val="FEEE8EDB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2">
    <w:nsid w:val="FF7A57BB"/>
    <w:multiLevelType w:val="singleLevel"/>
    <w:tmpl w:val="FF7A57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3">
    <w:nsid w:val="FFFA358F"/>
    <w:multiLevelType w:val="multilevel"/>
    <w:tmpl w:val="FFFA35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3E7CE2AF"/>
    <w:multiLevelType w:val="multilevel"/>
    <w:tmpl w:val="3E7CE2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5A2F4FB2"/>
    <w:multiLevelType w:val="multilevel"/>
    <w:tmpl w:val="5A2F4F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5DEB1ED0"/>
    <w:multiLevelType w:val="multilevel"/>
    <w:tmpl w:val="5DEB1E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5E4F7EE8"/>
    <w:multiLevelType w:val="multilevel"/>
    <w:tmpl w:val="5E4F7E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5FFE827E"/>
    <w:multiLevelType w:val="singleLevel"/>
    <w:tmpl w:val="5FFE827E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9">
    <w:nsid w:val="63D55E75"/>
    <w:multiLevelType w:val="multilevel"/>
    <w:tmpl w:val="63D55E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3"/>
  </w:num>
  <w:num w:numId="5">
    <w:abstractNumId w:val="19"/>
  </w:num>
  <w:num w:numId="6">
    <w:abstractNumId w:val="6"/>
  </w:num>
  <w:num w:numId="7">
    <w:abstractNumId w:val="15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14"/>
  </w:num>
  <w:num w:numId="14">
    <w:abstractNumId w:val="18"/>
  </w:num>
  <w:num w:numId="15">
    <w:abstractNumId w:val="9"/>
  </w:num>
  <w:num w:numId="16">
    <w:abstractNumId w:val="5"/>
  </w:num>
  <w:num w:numId="17">
    <w:abstractNumId w:val="12"/>
  </w:num>
  <w:num w:numId="18">
    <w:abstractNumId w:val="0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562E"/>
    <w:rsid w:val="05291B2A"/>
    <w:rsid w:val="059A68FA"/>
    <w:rsid w:val="0A882D3E"/>
    <w:rsid w:val="0F7C48E2"/>
    <w:rsid w:val="33ED66DC"/>
    <w:rsid w:val="3EEB6230"/>
    <w:rsid w:val="3FFF562E"/>
    <w:rsid w:val="573D9B85"/>
    <w:rsid w:val="5BCB5D43"/>
    <w:rsid w:val="5FF7C706"/>
    <w:rsid w:val="732FC656"/>
    <w:rsid w:val="7E7987A4"/>
    <w:rsid w:val="7F7B3C24"/>
    <w:rsid w:val="BDDF8C10"/>
    <w:rsid w:val="FB774FFB"/>
    <w:rsid w:val="FBDFA616"/>
    <w:rsid w:val="FDB71A44"/>
    <w:rsid w:val="FFFEC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3397</Words>
  <Characters>3660</Characters>
  <Lines>0</Lines>
  <Paragraphs>0</Paragraphs>
  <TotalTime>13</TotalTime>
  <ScaleCrop>false</ScaleCrop>
  <LinksUpToDate>false</LinksUpToDate>
  <CharactersWithSpaces>3726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2025-12-21T13:55:00Z</dcterms:created>
  <dc:creator>雅静</dc:creator>
  <cp:lastModifiedBy>PASTA</cp:lastModifiedBy>
  <dcterms:modified xsi:type="dcterms:W3CDTF">2026-01-13T06:12:08Z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4B65C4514C8144389917C3EB1705CE83_13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